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EF79D" w14:textId="5444E236" w:rsidR="000E12BC" w:rsidRPr="00606B56" w:rsidRDefault="003860FD" w:rsidP="00F16A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="00420575"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АО «УК ТС» </w:t>
      </w:r>
      <w:r w:rsidR="002A797F"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9605D"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E12BC"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</w:t>
      </w:r>
      <w:r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E12BC"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потребителями и иными заинтересованными лицами </w:t>
      </w:r>
      <w:r w:rsidR="00420575"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утвержденной тарифной сметы, об исполнении утвержденной инвестиционной программы, о соблюдении показателей качества и надежности регулируемых услуг и достижении показателей эффективности деятельности </w:t>
      </w:r>
      <w:r w:rsidR="000E12BC"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16AF3"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год.</w:t>
      </w:r>
    </w:p>
    <w:p w14:paraId="18452012" w14:textId="77777777" w:rsidR="00F16AF3" w:rsidRPr="00606B56" w:rsidRDefault="00F16AF3" w:rsidP="00F16A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E319A" w14:textId="5B184397" w:rsidR="007921BF" w:rsidRPr="00606B56" w:rsidRDefault="00107566" w:rsidP="00C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6AF3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Казахстан «О естественных монополиях», </w:t>
      </w:r>
      <w:r w:rsidR="0042057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7336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="0042057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287 </w:t>
      </w:r>
      <w:r w:rsidR="0097133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42057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133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национальной экономики Республики Казахстан от 13 августа 2019 года № 73</w:t>
      </w:r>
      <w:r w:rsidR="00F16AF3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3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осуществления деятельности субъектами естественных монополий», 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«Усть-Каменогорские </w:t>
      </w:r>
      <w:r w:rsidR="00D3059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епловые сети» </w:t>
      </w:r>
      <w:r w:rsidR="007921B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Вашему вниманию информаци</w:t>
      </w:r>
      <w:r w:rsidR="002A0AE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21B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7921B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потребителями и иными заинтересованными лицами </w:t>
      </w:r>
      <w:r w:rsidR="0042057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утвержденной тарифной сметы, об исполнении утвержденной инвестиционной программы, 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деятельности по предоставлению регулируемых услуг </w:t>
      </w:r>
      <w:r w:rsidR="0042057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AD1893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A797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проведенного 28 апреля 2021 года посредством </w:t>
      </w:r>
      <w:r w:rsidR="002A797F" w:rsidRPr="00606B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2A797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отчета АО «УК ТС» информировало</w:t>
      </w:r>
      <w:r w:rsidR="00A50D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</w:t>
      </w:r>
      <w:r w:rsidR="002A797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2F1CC8A" w14:textId="1BC3BED3" w:rsidR="00855EDA" w:rsidRPr="00606B56" w:rsidRDefault="00855EDA" w:rsidP="00C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 исполнении инвестиционных программ.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</w:t>
      </w:r>
      <w:r w:rsidR="009264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AD1893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1 335,6</w:t>
      </w:r>
      <w:r w:rsidR="009264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F16AF3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893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(1 298 млн. тенге без учета перенесенных на 2021 год)</w:t>
      </w:r>
      <w:r w:rsidR="009264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программа </w:t>
      </w:r>
      <w:r w:rsidR="0003441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893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АО «УК ТС» выполнена на </w:t>
      </w:r>
      <w:r w:rsidR="00AD1893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1 102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CC2C5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90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20</w:t>
      </w:r>
      <w:r w:rsidR="00AD1893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390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сумму </w:t>
      </w:r>
      <w:r w:rsidR="00AD1893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182,87</w:t>
      </w:r>
      <w:r w:rsidR="006A390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1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</w:t>
      </w:r>
      <w:bookmarkStart w:id="0" w:name="_GoBack"/>
      <w:bookmarkEnd w:id="0"/>
      <w:r w:rsidR="0003441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 </w:t>
      </w:r>
      <w:r w:rsidR="006A390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="00E87B29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390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5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инвестиционной программы 2019 год</w:t>
      </w:r>
      <w:r w:rsidR="00004DBE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41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0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исполнения которой</w:t>
      </w:r>
      <w:r w:rsidR="0003441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</w:t>
      </w:r>
      <w:r w:rsidR="006A390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201</w:t>
      </w:r>
      <w:r w:rsidR="00CC2C5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441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CC2C5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441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A390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41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DBE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натуральном выражении выполнение </w:t>
      </w:r>
      <w:r w:rsidR="0042057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004DBE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составило 100%. Из общей суммы фактически выполненных мероприятий </w:t>
      </w:r>
      <w:r w:rsidR="00CC2C5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004DBE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5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32,5</w:t>
      </w:r>
      <w:r w:rsidR="00A50D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составил</w:t>
      </w:r>
      <w:r w:rsidR="00004DBE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5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тепловых сетей и сооружений на них, 16,6% - </w:t>
      </w:r>
      <w:r w:rsidR="00004DBE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котельного оборудования и оборудования технологических процессов производства тепловой энергии, </w:t>
      </w:r>
      <w:r w:rsidR="00CC2C5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16,4% - мероприятия, направленные на снижение негативного воздействия на окружающую среду, 12,3 % - реализация проекта по модернизация теплоснабжения города Усть-Каменогорска</w:t>
      </w:r>
      <w:r w:rsidR="00A50D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средств ЕБРР</w:t>
      </w:r>
      <w:r w:rsidR="00CC2C5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, 9,8%</w:t>
      </w:r>
      <w:r w:rsidR="00004DBE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ремонт электроснабжения производственных объектов, приборов КИПиА, </w:t>
      </w:r>
      <w:r w:rsidR="00CC2C5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="00004DBE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% - замена устаревшего и приобретение нового оборудования</w:t>
      </w:r>
      <w:r w:rsidR="00CC2C5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разработка ПСД – 3%, капитальный ремонт зданий и сооружений – 0,9%</w:t>
      </w:r>
      <w:r w:rsidR="00004DBE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274AE2E" w14:textId="1832CE1B" w:rsidR="009A5047" w:rsidRPr="00606B56" w:rsidRDefault="00855EDA" w:rsidP="009A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 основных финансово-экономических показателях деятельности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«УК ТС» </w:t>
      </w:r>
      <w:r w:rsidR="00C667C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C2C5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год. </w:t>
      </w:r>
      <w:r w:rsidR="009A504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неаудированному «Отчету о совокупной прибыли за год, заканчивающийся 31 декабря 20</w:t>
      </w:r>
      <w:r w:rsidR="00CC2C5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504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г.» суммарный доход составил   </w:t>
      </w:r>
      <w:r w:rsidR="00CC2C5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581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5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9A504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="009A504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E87B29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04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87B29" w:rsidRPr="00606B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87B29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КПН </w:t>
      </w:r>
      <w:r w:rsidR="009A504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8 </w:t>
      </w:r>
      <w:r w:rsidR="005A268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346,7</w:t>
      </w:r>
      <w:r w:rsidR="009A504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="009A504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A504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B29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04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11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итоге, </w:t>
      </w:r>
      <w:r w:rsidR="009A504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убыток предприятия после налогообложения составил </w:t>
      </w:r>
      <w:r w:rsidR="00E6650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226,6</w:t>
      </w:r>
      <w:r w:rsidR="009A504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50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9A504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.тг</w:t>
      </w:r>
      <w:proofErr w:type="spellEnd"/>
      <w:r w:rsidR="009A504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6C717B" w14:textId="29BE336A" w:rsidR="00324914" w:rsidRPr="00606B56" w:rsidRDefault="00855EDA" w:rsidP="003249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 объемах предоставленных регулируемых услуг за 20</w:t>
      </w:r>
      <w:r w:rsidR="00324914"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 реализовано тепловой энергии </w:t>
      </w:r>
      <w:r w:rsidR="0032491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1900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тыс.Гкал</w:t>
      </w:r>
      <w:proofErr w:type="spellEnd"/>
      <w:proofErr w:type="gramEnd"/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2491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B451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объемов, утвержденных в тарифной смете</w:t>
      </w:r>
      <w:r w:rsidR="00BC3D1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Увеличение объемов потребления тепловой энергии за </w:t>
      </w:r>
      <w:r w:rsidR="0032491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="00BC3D1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по сравнению с утвержденной тарифной сметой </w:t>
      </w:r>
      <w:r w:rsidR="00E87B29" w:rsidRPr="00606B56">
        <w:rPr>
          <w:rFonts w:ascii="Times New Roman" w:hAnsi="Times New Roman" w:cs="Times New Roman"/>
          <w:sz w:val="28"/>
          <w:szCs w:val="28"/>
        </w:rPr>
        <w:t xml:space="preserve">произошло в связи с </w:t>
      </w:r>
      <w:r w:rsidR="00E87B29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присоединением новых потребителей в результате активного строительства МЖД в левобережной части города, а </w:t>
      </w:r>
      <w:r w:rsidR="00097336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2491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</w:t>
      </w:r>
      <w:r w:rsidR="00E87B29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2491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тепловым сетям</w:t>
      </w:r>
      <w:r w:rsidR="00E87B29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поселка</w:t>
      </w:r>
      <w:r w:rsidR="0032491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Согра, с. Радужный и </w:t>
      </w:r>
      <w:proofErr w:type="spellStart"/>
      <w:r w:rsidR="0032491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с.Солнечный</w:t>
      </w:r>
      <w:proofErr w:type="spellEnd"/>
      <w:r w:rsidR="0032491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ADA1DA" w14:textId="196A0FEE" w:rsidR="00A46194" w:rsidRPr="00606B56" w:rsidRDefault="00855EDA" w:rsidP="00324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Регулируемые услуги выполн</w:t>
      </w:r>
      <w:r w:rsidR="00BC3D1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 в 20</w:t>
      </w:r>
      <w:r w:rsidR="0032491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3D1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надлежащим качеством. </w:t>
      </w:r>
    </w:p>
    <w:p w14:paraId="5C270973" w14:textId="6169CFC8" w:rsidR="008E64AA" w:rsidRPr="00606B56" w:rsidRDefault="008E64AA" w:rsidP="00324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теплоносителя в систему отопления б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обеспечена согласно график</w:t>
      </w:r>
      <w:r w:rsidR="002B451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фактической   температуры наружного воздуха</w:t>
      </w:r>
      <w:r w:rsidR="00BC3D1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</w:t>
      </w:r>
      <w:r w:rsidR="009264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491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64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перерасчёт стоимости услуг по отоплению </w:t>
      </w:r>
      <w:r w:rsidR="009264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потребителям, не имеющим общедомовые приборы учета. Сумма </w:t>
      </w:r>
      <w:r w:rsidR="00A50D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потребителям</w:t>
      </w:r>
      <w:r w:rsidR="009264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32491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168,7</w:t>
      </w:r>
      <w:r w:rsidR="002B451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BC3D1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НДС</w:t>
      </w:r>
      <w:r w:rsidR="002B451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EF0F76" w14:textId="77777777" w:rsidR="00E27F05" w:rsidRPr="00606B56" w:rsidRDefault="00855EDA" w:rsidP="00E27F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 проводимой работе с потребителями регулируемых услуг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в центр персонального обслуживания поступило 68 571 обращений (около 7 000 обращений в месяц). Так же Call-центр АО «УКТС» принял 469 262 звонков. Принято 51 962 показаний приборов учета на круглосуточный автоответчик. В информационной базе зарегистрировано 11 474 потребителей с электронными адресами.</w:t>
      </w:r>
    </w:p>
    <w:p w14:paraId="30616445" w14:textId="5F2531A8" w:rsidR="00E1365C" w:rsidRPr="00606B56" w:rsidRDefault="009602DB" w:rsidP="00E27F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потребителей, проживающих в п. Новая Согра, с. Радужный и с. Солнечный, открыта точка обслуживания АО «УК ТС» в абонентском отделе КГКП на ПХВ «ТАЗА ӨСКЕМЕН», где потребители могут получить консультацию по вопросам теплоснабжения, заключить/перезаключить договор, передать показания по индивидуальным приборам горячей воды и т.д. Реализована возможность передать показания и узнать сумму к оплате, через чат-бот </w:t>
      </w:r>
      <w:proofErr w:type="spellStart"/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E31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="003E31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E31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UKTSbot</w:t>
      </w:r>
      <w:proofErr w:type="spellEnd"/>
      <w:r w:rsidR="003E31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мобильное приложение</w:t>
      </w:r>
      <w:r w:rsidR="003E31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691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ожидания по ул. М. Горького, 61 установлен информационный киоск по приему показаний. Данный кисок позволяет без контакта с оператором передать показания и узнать сумму к оплате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A27849" w14:textId="7F887655" w:rsidR="00855EDA" w:rsidRPr="00606B56" w:rsidRDefault="00853C6C" w:rsidP="00CE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02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поступило </w:t>
      </w:r>
      <w:r w:rsidR="009602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338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благодарностей на качество работы сотрудников и </w:t>
      </w:r>
      <w:r w:rsidR="009602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C338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в т.ч. </w:t>
      </w:r>
      <w:r w:rsidR="009602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A50D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качество обслуживания, </w:t>
      </w:r>
      <w:r w:rsidR="009602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58B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56C8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качество теплоснабжени</w:t>
      </w:r>
      <w:r w:rsidR="00C338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56C8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был проведен </w:t>
      </w:r>
      <w:r w:rsidR="00C338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выявлены причины возникновения и проведены корректирующие действия. Анализ </w:t>
      </w:r>
      <w:r w:rsidR="001B0E99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показал, что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0E99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 обращений наход</w:t>
      </w:r>
      <w:r w:rsidR="00C338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0E99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границами эксплуатационной ответственности АО «УК ТС».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роводились выездные совещания на объекты, имеющие проблемы по подготовке к отопительному сезону. По результатам анкетирования</w:t>
      </w:r>
      <w:r w:rsidR="00F24691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обслуживани</w:t>
      </w:r>
      <w:r w:rsidR="003556C8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 9</w:t>
      </w:r>
      <w:r w:rsidR="003556C8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D67D1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(населения и юридических лиц)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качеством теплоснабжения – </w:t>
      </w:r>
      <w:r w:rsidR="009602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</w:t>
      </w:r>
      <w:r w:rsidR="00855E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656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ED7DDB" w14:textId="583A646C" w:rsidR="007145B8" w:rsidRPr="00606B56" w:rsidRDefault="00DD67D1" w:rsidP="00DD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Запущена страница предприятия в социальных сетях Instagram и Facebook, где освещается деятельность предприятия, размещается информация по отключениям горячей воды, вакансиях и т.д. Количество подписчиков на странице Instagram</w:t>
      </w:r>
      <w:r w:rsidR="00CC2F11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9602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9602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02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жалобы и комментарии отрабатываются в оперативном режиме.</w:t>
      </w:r>
    </w:p>
    <w:p w14:paraId="0C89E941" w14:textId="5F003406" w:rsidR="00550A9E" w:rsidRPr="00606B56" w:rsidRDefault="00855EDA" w:rsidP="00A46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 постатейном исполнении утвержденной тарифной сметы.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Действующая для АО «УК ТС» тарифная смета на производство, передачу и распределение, снабжение тепловой энергией утверждена приказом ДКРЕМ</w:t>
      </w:r>
      <w:r w:rsidR="00DD67D1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ВКО № </w:t>
      </w:r>
      <w:r w:rsidR="009602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от </w:t>
      </w:r>
      <w:r w:rsidR="00DD67D1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2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02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Всего расходы АО «УК ТС» с учетом покупки тепла от ТЭЦ составили </w:t>
      </w:r>
      <w:r w:rsidR="00BA542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54A2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млн.тг</w:t>
      </w:r>
      <w:proofErr w:type="spellEnd"/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тарифном плане </w:t>
      </w:r>
      <w:r w:rsidR="00DD67D1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441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млн.тг</w:t>
      </w:r>
      <w:proofErr w:type="spellEnd"/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Рост затрат по отдельным статьям затрат – </w:t>
      </w:r>
      <w:r w:rsidR="00853C6C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сырью и материалам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651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ГСМ,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поверке,</w:t>
      </w:r>
      <w:r w:rsidR="0041650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обследованию, гидрохимической промывке и </w:t>
      </w:r>
      <w:r w:rsidR="009F581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опрессовке</w:t>
      </w:r>
      <w:r w:rsidR="0041650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пусконаладочным работам и диагностированию, страховани</w:t>
      </w:r>
      <w:r w:rsidR="0003441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</w:t>
      </w:r>
      <w:r w:rsidR="00D1766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ТС вызван производственной и законодательной необходимостью,</w:t>
      </w:r>
      <w:r w:rsidR="00A50D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возросший износ</w:t>
      </w:r>
      <w:r w:rsidR="0003441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затраты на электроэнергию</w:t>
      </w:r>
      <w:r w:rsidR="00853C6C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 на имущество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значительными объемами построенных и </w:t>
      </w:r>
      <w:proofErr w:type="gramStart"/>
      <w:r w:rsidR="00097336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на баланс сетей</w:t>
      </w:r>
      <w:proofErr w:type="gramEnd"/>
      <w:r w:rsidR="00E87B29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C6C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активов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C6C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D1766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766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C6C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ростом объемов реализации связано увеличение 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853C6C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 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собственными котельными</w:t>
      </w:r>
      <w:r w:rsidR="00853C6C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0D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объясняет </w:t>
      </w:r>
      <w:r w:rsidR="00CE0FE6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A50D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переменных </w:t>
      </w:r>
      <w:r w:rsidR="00853C6C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A50D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53C6C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топл</w:t>
      </w:r>
      <w:r w:rsidR="00906B19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электроэнергию</w:t>
      </w:r>
      <w:r w:rsidR="00906B19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3C6C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691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D1766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дефицитом тарифного дохода</w:t>
      </w:r>
      <w:r w:rsidR="00F24691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большинству статей сметы расходы были утверждены </w:t>
      </w:r>
      <w:r w:rsidR="0060323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323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дефицитом. </w:t>
      </w:r>
      <w:r w:rsidR="0060323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п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работы за 20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0323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экономия по статьям затрат АО «УК ТС» не превысила допустимые 5%</w:t>
      </w:r>
      <w:r w:rsidR="00D1766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AA523D" w14:textId="77777777" w:rsidR="00550A9E" w:rsidRPr="00606B56" w:rsidRDefault="00550A9E" w:rsidP="00550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качества, надежности и эффективности для АО «УК ТС» на 2020 год не утверждались.</w:t>
      </w:r>
    </w:p>
    <w:p w14:paraId="6AEFAB0A" w14:textId="4C9C189E" w:rsidR="0041650D" w:rsidRPr="00606B56" w:rsidRDefault="00855EDA" w:rsidP="00416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 перспективах деятельности, в том числе возможных изменениях тарифов на регулируемые услуги.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планах на 20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 АО «УК ТС» - </w:t>
      </w:r>
      <w:r w:rsidR="007A26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CF1566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программ</w:t>
      </w:r>
      <w:r w:rsidR="00CF1566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3 215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E4DD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6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проекта «Модернизация системы теплоснабжения города Усть-Каменогорска» по кредитному договору с ЕБРР с </w:t>
      </w:r>
      <w:proofErr w:type="spellStart"/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и местного бюджета 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2</w:t>
      </w:r>
      <w:r w:rsidR="00EE4DD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136,5 млн. тенге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работ по реконструкции,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6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замен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26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тепловых сетей на 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1566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котельного, реконструкци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котельно-вспомогательного оборудования на 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="009F581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F1566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по энергосбережению и электроснабжению объектов на 131 млн. тенге; 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по снижению негативного воздействия на 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 среду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</w:t>
      </w:r>
      <w:r w:rsidR="006413E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27F0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413E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 реконструкции существующих зданий и сооружений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413E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млн. тенге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F1566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413E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средств информационных технологий 6 млн. тенге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з</w:t>
      </w:r>
      <w:r w:rsidR="00CF1566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1566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устаревшего и приобретение нового оборудования – </w:t>
      </w:r>
      <w:r w:rsidR="006413E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CF1566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DB8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336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планах - в</w:t>
      </w:r>
      <w:r w:rsidR="00D77DB8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мероприятий 2020 года, срок исполнения которых перенесен на 2021 год на 37 612 тыс. тенге.</w:t>
      </w:r>
      <w:r w:rsidR="006413E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7336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з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апланирован р</w:t>
      </w:r>
      <w:r w:rsidR="00676AB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 </w:t>
      </w:r>
      <w:r w:rsidR="006413E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76AB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тепловых сетей</w:t>
      </w:r>
      <w:r w:rsidR="009F581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F581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4449 </w:t>
      </w:r>
      <w:proofErr w:type="spellStart"/>
      <w:r w:rsidR="009F581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581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6AB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F4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планируется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ряда мероприятий по улучшению качества обслуживания</w:t>
      </w:r>
      <w:r w:rsidR="007A26DA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6ABF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13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650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="009F013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41650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9F0137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50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скачивания расчетного листка через </w:t>
      </w:r>
      <w:proofErr w:type="spellStart"/>
      <w:r w:rsidR="0041650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="0041650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-бот, </w:t>
      </w:r>
      <w:r w:rsidR="00550A9E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650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="00550A9E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41650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</w:t>
      </w:r>
      <w:r w:rsidR="00550A9E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50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акта сверки через мобильное приложение</w:t>
      </w:r>
      <w:r w:rsidR="003E31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постоянной точки обслуживания в п. Новая Согра по ул. Усть-Каменогорская, 14а</w:t>
      </w:r>
      <w:r w:rsidR="00A22F4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="00A22F4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A22F45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F27800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F963D4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объекты потребителей (ОПУТ) не менее 30 шт устройств передачи данных с приборов учета тепловой энергии (модемов стандарта GSM)</w:t>
      </w:r>
      <w:r w:rsidR="003E31DB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CD4899" w14:textId="5E1A3D91" w:rsidR="0041650D" w:rsidRPr="00606B56" w:rsidRDefault="00C2547C" w:rsidP="00416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1650D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до конца 2021 года не предполагается. </w:t>
      </w:r>
    </w:p>
    <w:p w14:paraId="0AE301D1" w14:textId="1D93F5A8" w:rsidR="00676ABF" w:rsidRPr="00606B56" w:rsidRDefault="00855EDA" w:rsidP="0003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перечисленные мероприятия позволят обеспечить бесперебойное и качественное теплоснабжение </w:t>
      </w:r>
      <w:r w:rsidR="00CF1566"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обслуживание </w:t>
      </w:r>
      <w:r w:rsidRPr="006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АО «УК ТС».</w:t>
      </w:r>
    </w:p>
    <w:sectPr w:rsidR="00676ABF" w:rsidRPr="00606B56" w:rsidSect="009516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289"/>
    <w:multiLevelType w:val="hybridMultilevel"/>
    <w:tmpl w:val="00AE772E"/>
    <w:lvl w:ilvl="0" w:tplc="8DDCA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40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8D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4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EE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2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4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3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31714"/>
    <w:multiLevelType w:val="hybridMultilevel"/>
    <w:tmpl w:val="0D46B8CE"/>
    <w:lvl w:ilvl="0" w:tplc="2CE6E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6D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AE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EE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0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417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0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D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05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A"/>
    <w:rsid w:val="00004DBE"/>
    <w:rsid w:val="00034410"/>
    <w:rsid w:val="0007163C"/>
    <w:rsid w:val="000764EE"/>
    <w:rsid w:val="00097336"/>
    <w:rsid w:val="000E12BC"/>
    <w:rsid w:val="000E171D"/>
    <w:rsid w:val="000E20C3"/>
    <w:rsid w:val="00107566"/>
    <w:rsid w:val="0013785D"/>
    <w:rsid w:val="00163216"/>
    <w:rsid w:val="001B0E99"/>
    <w:rsid w:val="00242EA0"/>
    <w:rsid w:val="002A0AE5"/>
    <w:rsid w:val="002A797F"/>
    <w:rsid w:val="002B4514"/>
    <w:rsid w:val="002C13E5"/>
    <w:rsid w:val="002E5C9D"/>
    <w:rsid w:val="00306AB4"/>
    <w:rsid w:val="00324914"/>
    <w:rsid w:val="003556C8"/>
    <w:rsid w:val="003860FD"/>
    <w:rsid w:val="003A29AE"/>
    <w:rsid w:val="003E31DB"/>
    <w:rsid w:val="003E7451"/>
    <w:rsid w:val="0041650D"/>
    <w:rsid w:val="00420575"/>
    <w:rsid w:val="00460402"/>
    <w:rsid w:val="00485383"/>
    <w:rsid w:val="004D0A7C"/>
    <w:rsid w:val="00550A9E"/>
    <w:rsid w:val="005A2684"/>
    <w:rsid w:val="005C709A"/>
    <w:rsid w:val="00603235"/>
    <w:rsid w:val="00606B56"/>
    <w:rsid w:val="006254A2"/>
    <w:rsid w:val="006358B4"/>
    <w:rsid w:val="006413E0"/>
    <w:rsid w:val="006460BC"/>
    <w:rsid w:val="00675D1F"/>
    <w:rsid w:val="00676ABF"/>
    <w:rsid w:val="006A3907"/>
    <w:rsid w:val="006F6209"/>
    <w:rsid w:val="007145B8"/>
    <w:rsid w:val="00783D6D"/>
    <w:rsid w:val="007921BF"/>
    <w:rsid w:val="007A26DA"/>
    <w:rsid w:val="008155BC"/>
    <w:rsid w:val="00853C6C"/>
    <w:rsid w:val="008552CF"/>
    <w:rsid w:val="00855EDA"/>
    <w:rsid w:val="008A0BF1"/>
    <w:rsid w:val="008A1E62"/>
    <w:rsid w:val="008E64AA"/>
    <w:rsid w:val="00906B19"/>
    <w:rsid w:val="00926400"/>
    <w:rsid w:val="00951691"/>
    <w:rsid w:val="009602DB"/>
    <w:rsid w:val="00971334"/>
    <w:rsid w:val="009758BE"/>
    <w:rsid w:val="00976510"/>
    <w:rsid w:val="00977D32"/>
    <w:rsid w:val="009A10FD"/>
    <w:rsid w:val="009A5047"/>
    <w:rsid w:val="009F0137"/>
    <w:rsid w:val="009F581A"/>
    <w:rsid w:val="00A06FBB"/>
    <w:rsid w:val="00A13BC6"/>
    <w:rsid w:val="00A22F45"/>
    <w:rsid w:val="00A46194"/>
    <w:rsid w:val="00A50D00"/>
    <w:rsid w:val="00AA034A"/>
    <w:rsid w:val="00AD1893"/>
    <w:rsid w:val="00AF6A49"/>
    <w:rsid w:val="00B01845"/>
    <w:rsid w:val="00B56564"/>
    <w:rsid w:val="00BA5425"/>
    <w:rsid w:val="00BC3D1F"/>
    <w:rsid w:val="00C2547C"/>
    <w:rsid w:val="00C33800"/>
    <w:rsid w:val="00C667C4"/>
    <w:rsid w:val="00CC2C57"/>
    <w:rsid w:val="00CC2F11"/>
    <w:rsid w:val="00CE0FE6"/>
    <w:rsid w:val="00CF1566"/>
    <w:rsid w:val="00CF7840"/>
    <w:rsid w:val="00D1766D"/>
    <w:rsid w:val="00D3059F"/>
    <w:rsid w:val="00D41C18"/>
    <w:rsid w:val="00D77DB8"/>
    <w:rsid w:val="00D9605D"/>
    <w:rsid w:val="00DC2A41"/>
    <w:rsid w:val="00DD67D1"/>
    <w:rsid w:val="00DE57BF"/>
    <w:rsid w:val="00E12649"/>
    <w:rsid w:val="00E1365C"/>
    <w:rsid w:val="00E27F05"/>
    <w:rsid w:val="00E447C5"/>
    <w:rsid w:val="00E6650F"/>
    <w:rsid w:val="00E846C5"/>
    <w:rsid w:val="00E87B29"/>
    <w:rsid w:val="00EE4DDF"/>
    <w:rsid w:val="00F04424"/>
    <w:rsid w:val="00F16AF3"/>
    <w:rsid w:val="00F24691"/>
    <w:rsid w:val="00F27800"/>
    <w:rsid w:val="00F9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BEB"/>
  <w15:docId w15:val="{37D90550-1B6A-490F-A0AA-29F51BC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85D"/>
    <w:rPr>
      <w:color w:val="0563C1" w:themeColor="hyperlink"/>
      <w:u w:val="single"/>
    </w:rPr>
  </w:style>
  <w:style w:type="character" w:customStyle="1" w:styleId="s1">
    <w:name w:val="s1"/>
    <w:rsid w:val="00971334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D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Юлия Валерьевна</dc:creator>
  <cp:lastModifiedBy>Вендеревский Алексей Анатольевич</cp:lastModifiedBy>
  <cp:revision>3</cp:revision>
  <dcterms:created xsi:type="dcterms:W3CDTF">2021-04-29T06:01:00Z</dcterms:created>
  <dcterms:modified xsi:type="dcterms:W3CDTF">2021-04-30T01:55:00Z</dcterms:modified>
</cp:coreProperties>
</file>