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AA82" w14:textId="25E2F505" w:rsidR="0013044C" w:rsidRPr="0013044C" w:rsidRDefault="0013044C" w:rsidP="0013044C">
      <w:pPr>
        <w:spacing w:after="0" w:line="240" w:lineRule="auto"/>
        <w:ind w:firstLine="708"/>
        <w:jc w:val="center"/>
        <w:rPr>
          <w:rFonts w:ascii="Times New Roman" w:eastAsia="Times New Roman" w:hAnsi="Times New Roman" w:cs="Times New Roman"/>
          <w:b/>
          <w:sz w:val="28"/>
          <w:szCs w:val="28"/>
          <w:lang w:eastAsia="ru-RU"/>
        </w:rPr>
      </w:pPr>
      <w:r w:rsidRPr="0013044C">
        <w:rPr>
          <w:rFonts w:ascii="Times New Roman" w:eastAsia="Times New Roman" w:hAnsi="Times New Roman" w:cs="Times New Roman"/>
          <w:b/>
          <w:sz w:val="28"/>
          <w:szCs w:val="28"/>
          <w:lang w:eastAsia="ru-RU"/>
        </w:rPr>
        <w:t>2020 жылғы реттеліп көрсетілетін қызметтерді ұсыну жөніндегі қызметтің қорытындылары туралы тұтынушылар мен өзге де мүдделі тұлғалар алдындағы есеп</w:t>
      </w:r>
      <w:r w:rsidR="004A1A95">
        <w:rPr>
          <w:rFonts w:ascii="Times New Roman" w:eastAsia="Times New Roman" w:hAnsi="Times New Roman" w:cs="Times New Roman"/>
          <w:b/>
          <w:sz w:val="28"/>
          <w:szCs w:val="28"/>
          <w:lang w:val="kk-KZ" w:eastAsia="ru-RU"/>
        </w:rPr>
        <w:t xml:space="preserve">ке </w:t>
      </w:r>
      <w:r w:rsidRPr="0013044C">
        <w:rPr>
          <w:rFonts w:ascii="Times New Roman" w:eastAsia="Times New Roman" w:hAnsi="Times New Roman" w:cs="Times New Roman"/>
          <w:b/>
          <w:sz w:val="28"/>
          <w:szCs w:val="28"/>
          <w:lang w:eastAsia="ru-RU"/>
        </w:rPr>
        <w:t>ақпарат.</w:t>
      </w:r>
    </w:p>
    <w:p w14:paraId="4D5D060E" w14:textId="77777777" w:rsidR="0013044C" w:rsidRPr="0013044C" w:rsidRDefault="0013044C" w:rsidP="0013044C">
      <w:pPr>
        <w:spacing w:after="0" w:line="240" w:lineRule="auto"/>
        <w:ind w:firstLine="708"/>
        <w:jc w:val="center"/>
        <w:rPr>
          <w:rFonts w:ascii="Times New Roman" w:eastAsia="Times New Roman" w:hAnsi="Times New Roman" w:cs="Times New Roman"/>
          <w:b/>
          <w:sz w:val="28"/>
          <w:szCs w:val="28"/>
          <w:lang w:eastAsia="ru-RU"/>
        </w:rPr>
      </w:pPr>
    </w:p>
    <w:p w14:paraId="1032510B" w14:textId="7338B409" w:rsidR="0013044C" w:rsidRPr="00DE6DFB" w:rsidRDefault="004A1A95" w:rsidP="004A1A95">
      <w:pPr>
        <w:spacing w:after="0" w:line="240" w:lineRule="auto"/>
        <w:ind w:firstLine="708"/>
        <w:jc w:val="both"/>
        <w:rPr>
          <w:rFonts w:ascii="Times New Roman" w:eastAsia="Times New Roman" w:hAnsi="Times New Roman" w:cs="Times New Roman"/>
          <w:sz w:val="28"/>
          <w:szCs w:val="28"/>
          <w:lang w:val="kk-KZ" w:eastAsia="ru-RU"/>
        </w:rPr>
      </w:pPr>
      <w:r w:rsidRPr="0013044C">
        <w:rPr>
          <w:rFonts w:ascii="Times New Roman" w:eastAsia="Times New Roman" w:hAnsi="Times New Roman" w:cs="Times New Roman"/>
          <w:sz w:val="28"/>
          <w:szCs w:val="28"/>
          <w:lang w:eastAsia="ru-RU"/>
        </w:rPr>
        <w:t xml:space="preserve">Қазақстан Республикасының </w:t>
      </w:r>
      <w:r>
        <w:rPr>
          <w:rFonts w:ascii="Times New Roman" w:eastAsia="Times New Roman" w:hAnsi="Times New Roman" w:cs="Times New Roman"/>
          <w:sz w:val="28"/>
          <w:szCs w:val="28"/>
          <w:lang w:val="kk-KZ" w:eastAsia="ru-RU"/>
        </w:rPr>
        <w:t>«</w:t>
      </w:r>
      <w:r w:rsidR="0013044C" w:rsidRPr="0013044C">
        <w:rPr>
          <w:rFonts w:ascii="Times New Roman" w:eastAsia="Times New Roman" w:hAnsi="Times New Roman" w:cs="Times New Roman"/>
          <w:sz w:val="28"/>
          <w:szCs w:val="28"/>
          <w:lang w:eastAsia="ru-RU"/>
        </w:rPr>
        <w:t>Табиғи монополиялар туралы</w:t>
      </w:r>
      <w:r>
        <w:rPr>
          <w:rFonts w:ascii="Times New Roman" w:eastAsia="Times New Roman" w:hAnsi="Times New Roman" w:cs="Times New Roman"/>
          <w:sz w:val="28"/>
          <w:szCs w:val="28"/>
          <w:lang w:val="kk-KZ" w:eastAsia="ru-RU"/>
        </w:rPr>
        <w:t>»</w:t>
      </w:r>
      <w:r w:rsidR="0013044C" w:rsidRPr="0013044C">
        <w:rPr>
          <w:rFonts w:ascii="Times New Roman" w:eastAsia="Times New Roman" w:hAnsi="Times New Roman" w:cs="Times New Roman"/>
          <w:sz w:val="28"/>
          <w:szCs w:val="28"/>
          <w:lang w:eastAsia="ru-RU"/>
        </w:rPr>
        <w:t xml:space="preserve"> Заңына, </w:t>
      </w:r>
      <w:r w:rsidRPr="0013044C">
        <w:rPr>
          <w:rFonts w:ascii="Times New Roman" w:eastAsia="Times New Roman" w:hAnsi="Times New Roman" w:cs="Times New Roman"/>
          <w:sz w:val="28"/>
          <w:szCs w:val="28"/>
          <w:lang w:eastAsia="ru-RU"/>
        </w:rPr>
        <w:t xml:space="preserve">Қазақстан Республикасы Ұлттық экономика </w:t>
      </w:r>
      <w:r>
        <w:rPr>
          <w:rFonts w:ascii="Times New Roman" w:eastAsia="Times New Roman" w:hAnsi="Times New Roman" w:cs="Times New Roman"/>
          <w:sz w:val="28"/>
          <w:szCs w:val="28"/>
          <w:lang w:val="kk-KZ" w:eastAsia="ru-RU"/>
        </w:rPr>
        <w:t>М</w:t>
      </w:r>
      <w:r w:rsidRPr="0013044C">
        <w:rPr>
          <w:rFonts w:ascii="Times New Roman" w:eastAsia="Times New Roman" w:hAnsi="Times New Roman" w:cs="Times New Roman"/>
          <w:sz w:val="28"/>
          <w:szCs w:val="28"/>
          <w:lang w:eastAsia="ru-RU"/>
        </w:rPr>
        <w:t xml:space="preserve">инистрінің </w:t>
      </w:r>
      <w:r>
        <w:rPr>
          <w:rFonts w:ascii="Times New Roman" w:eastAsia="Times New Roman" w:hAnsi="Times New Roman" w:cs="Times New Roman"/>
          <w:sz w:val="28"/>
          <w:szCs w:val="28"/>
          <w:lang w:val="kk-KZ" w:eastAsia="ru-RU"/>
        </w:rPr>
        <w:t>«Т</w:t>
      </w:r>
      <w:r w:rsidR="0013044C" w:rsidRPr="0013044C">
        <w:rPr>
          <w:rFonts w:ascii="Times New Roman" w:eastAsia="Times New Roman" w:hAnsi="Times New Roman" w:cs="Times New Roman"/>
          <w:sz w:val="28"/>
          <w:szCs w:val="28"/>
          <w:lang w:eastAsia="ru-RU"/>
        </w:rPr>
        <w:t>абиғи монополиялар субъектілерінің қызметін жүзеге асыру қағидаларын бекіту туралы</w:t>
      </w:r>
      <w:r>
        <w:rPr>
          <w:rFonts w:ascii="Times New Roman" w:eastAsia="Times New Roman" w:hAnsi="Times New Roman" w:cs="Times New Roman"/>
          <w:sz w:val="28"/>
          <w:szCs w:val="28"/>
          <w:lang w:val="kk-KZ" w:eastAsia="ru-RU"/>
        </w:rPr>
        <w:t>»</w:t>
      </w:r>
      <w:r w:rsidR="0013044C" w:rsidRPr="0013044C">
        <w:rPr>
          <w:rFonts w:ascii="Times New Roman" w:eastAsia="Times New Roman" w:hAnsi="Times New Roman" w:cs="Times New Roman"/>
          <w:sz w:val="28"/>
          <w:szCs w:val="28"/>
          <w:lang w:eastAsia="ru-RU"/>
        </w:rPr>
        <w:t xml:space="preserve"> 2019 жылғы 13 тамыздағы № 73 бұйрығына сәйкес, </w:t>
      </w:r>
      <w:r>
        <w:rPr>
          <w:rFonts w:ascii="Times New Roman" w:eastAsia="Times New Roman" w:hAnsi="Times New Roman" w:cs="Times New Roman"/>
          <w:sz w:val="28"/>
          <w:szCs w:val="28"/>
          <w:lang w:val="kk-KZ" w:eastAsia="ru-RU"/>
        </w:rPr>
        <w:t>«</w:t>
      </w:r>
      <w:r w:rsidR="0013044C" w:rsidRPr="0013044C">
        <w:rPr>
          <w:rFonts w:ascii="Times New Roman" w:eastAsia="Times New Roman" w:hAnsi="Times New Roman" w:cs="Times New Roman"/>
          <w:sz w:val="28"/>
          <w:szCs w:val="28"/>
          <w:lang w:eastAsia="ru-RU"/>
        </w:rPr>
        <w:t>Өскемен жылу ж</w:t>
      </w:r>
      <w:r>
        <w:rPr>
          <w:rFonts w:ascii="Times New Roman" w:eastAsia="Times New Roman" w:hAnsi="Times New Roman" w:cs="Times New Roman"/>
          <w:sz w:val="28"/>
          <w:szCs w:val="28"/>
          <w:lang w:val="kk-KZ" w:eastAsia="ru-RU"/>
        </w:rPr>
        <w:t>үйе</w:t>
      </w:r>
      <w:r w:rsidR="0013044C" w:rsidRPr="0013044C">
        <w:rPr>
          <w:rFonts w:ascii="Times New Roman" w:eastAsia="Times New Roman" w:hAnsi="Times New Roman" w:cs="Times New Roman"/>
          <w:sz w:val="28"/>
          <w:szCs w:val="28"/>
          <w:lang w:eastAsia="ru-RU"/>
        </w:rPr>
        <w:t>лері</w:t>
      </w:r>
      <w:r>
        <w:rPr>
          <w:rFonts w:ascii="Times New Roman" w:eastAsia="Times New Roman" w:hAnsi="Times New Roman" w:cs="Times New Roman"/>
          <w:sz w:val="28"/>
          <w:szCs w:val="28"/>
          <w:lang w:val="kk-KZ" w:eastAsia="ru-RU"/>
        </w:rPr>
        <w:t>»</w:t>
      </w:r>
      <w:r w:rsidR="0013044C" w:rsidRPr="001304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АҚ-ы</w:t>
      </w:r>
      <w:r w:rsidR="0013044C" w:rsidRPr="0013044C">
        <w:rPr>
          <w:rFonts w:ascii="Times New Roman" w:eastAsia="Times New Roman" w:hAnsi="Times New Roman" w:cs="Times New Roman"/>
          <w:sz w:val="28"/>
          <w:szCs w:val="28"/>
          <w:lang w:eastAsia="ru-RU"/>
        </w:rPr>
        <w:t xml:space="preserve"> </w:t>
      </w:r>
      <w:r w:rsidR="00DE6DFB" w:rsidRPr="00DE6DFB">
        <w:rPr>
          <w:rFonts w:ascii="Times New Roman" w:eastAsia="Times New Roman" w:hAnsi="Times New Roman" w:cs="Times New Roman"/>
          <w:sz w:val="28"/>
          <w:szCs w:val="28"/>
          <w:lang w:eastAsia="ru-RU"/>
        </w:rPr>
        <w:t>"Өскемен жылу жүйелері" АҚ сіздердің назарларыңызға тұтынушылар мен басқа да мүдделі тұлғалар алдында бекітілген тарифтік сметаның орындалуы туралы, бекітілген инвестициялық бағдарламаның орындалуы туралы, 2021 жылғы 28 сәуірде ZOOM арқылы өткізілген 2020 жылға арналған реттеліп көрсетілетін қызметтерді ұсыну жөніндегі қызметтің қорытындылары туралы есеп беру бойынша ақпаратты ұсынады.</w:t>
      </w:r>
      <w:r w:rsidR="00DE6DFB">
        <w:rPr>
          <w:rFonts w:ascii="Times New Roman" w:eastAsia="Times New Roman" w:hAnsi="Times New Roman" w:cs="Times New Roman"/>
          <w:sz w:val="28"/>
          <w:szCs w:val="28"/>
          <w:lang w:val="kk-KZ" w:eastAsia="ru-RU"/>
        </w:rPr>
        <w:t xml:space="preserve"> </w:t>
      </w:r>
      <w:r w:rsidR="00DE6DFB" w:rsidRPr="00DE6DFB">
        <w:rPr>
          <w:rFonts w:ascii="Times New Roman" w:eastAsia="Times New Roman" w:hAnsi="Times New Roman" w:cs="Times New Roman"/>
          <w:sz w:val="28"/>
          <w:szCs w:val="28"/>
          <w:lang w:val="kk-KZ" w:eastAsia="ru-RU"/>
        </w:rPr>
        <w:t xml:space="preserve">Есепті жүргізу кезінде </w:t>
      </w:r>
      <w:r w:rsidR="00DE6DFB" w:rsidRPr="00DE6DFB">
        <w:rPr>
          <w:rFonts w:ascii="Times New Roman" w:eastAsia="Times New Roman" w:hAnsi="Times New Roman" w:cs="Times New Roman"/>
          <w:sz w:val="28"/>
          <w:szCs w:val="28"/>
          <w:lang w:val="kk-KZ" w:eastAsia="ru-RU"/>
        </w:rPr>
        <w:t>«</w:t>
      </w:r>
      <w:r w:rsidR="00DE6DFB" w:rsidRPr="00DE6DFB">
        <w:rPr>
          <w:rFonts w:ascii="Times New Roman" w:eastAsia="Times New Roman" w:hAnsi="Times New Roman" w:cs="Times New Roman"/>
          <w:sz w:val="28"/>
          <w:szCs w:val="28"/>
          <w:lang w:val="kk-KZ" w:eastAsia="ru-RU"/>
        </w:rPr>
        <w:t>ӨЖЖ</w:t>
      </w:r>
      <w:r w:rsidR="00DE6DFB">
        <w:rPr>
          <w:rFonts w:ascii="Times New Roman" w:eastAsia="Times New Roman" w:hAnsi="Times New Roman" w:cs="Times New Roman"/>
          <w:sz w:val="28"/>
          <w:szCs w:val="28"/>
          <w:lang w:val="kk-KZ" w:eastAsia="ru-RU"/>
        </w:rPr>
        <w:t>»</w:t>
      </w:r>
      <w:r w:rsidR="00DE6DFB" w:rsidRPr="00DE6DFB">
        <w:rPr>
          <w:rFonts w:ascii="Times New Roman" w:eastAsia="Times New Roman" w:hAnsi="Times New Roman" w:cs="Times New Roman"/>
          <w:sz w:val="28"/>
          <w:szCs w:val="28"/>
          <w:lang w:val="kk-KZ" w:eastAsia="ru-RU"/>
        </w:rPr>
        <w:t xml:space="preserve"> АҚ</w:t>
      </w:r>
      <w:r w:rsidR="00DE6DFB">
        <w:rPr>
          <w:rFonts w:ascii="Times New Roman" w:eastAsia="Times New Roman" w:hAnsi="Times New Roman" w:cs="Times New Roman"/>
          <w:sz w:val="28"/>
          <w:szCs w:val="28"/>
          <w:lang w:val="kk-KZ" w:eastAsia="ru-RU"/>
        </w:rPr>
        <w:t>-ы т</w:t>
      </w:r>
      <w:r w:rsidR="00DE6DFB" w:rsidRPr="00DE6DFB">
        <w:rPr>
          <w:rFonts w:ascii="Times New Roman" w:eastAsia="Times New Roman" w:hAnsi="Times New Roman" w:cs="Times New Roman"/>
          <w:sz w:val="28"/>
          <w:szCs w:val="28"/>
          <w:lang w:val="kk-KZ" w:eastAsia="ru-RU"/>
        </w:rPr>
        <w:t>ұтынушыларды ақпараттандырды</w:t>
      </w:r>
      <w:r w:rsidR="0013044C" w:rsidRPr="00DE6DFB">
        <w:rPr>
          <w:rFonts w:ascii="Times New Roman" w:eastAsia="Times New Roman" w:hAnsi="Times New Roman" w:cs="Times New Roman"/>
          <w:sz w:val="28"/>
          <w:szCs w:val="28"/>
          <w:lang w:val="kk-KZ" w:eastAsia="ru-RU"/>
        </w:rPr>
        <w:t>:</w:t>
      </w:r>
    </w:p>
    <w:p w14:paraId="54B0F79C" w14:textId="087F0BA6" w:rsidR="004A1A95" w:rsidRPr="00DE6DFB" w:rsidRDefault="004A1A95" w:rsidP="00CE0FE6">
      <w:pPr>
        <w:spacing w:after="0" w:line="240" w:lineRule="auto"/>
        <w:ind w:firstLine="708"/>
        <w:jc w:val="both"/>
        <w:rPr>
          <w:rFonts w:ascii="Times New Roman" w:eastAsia="Times New Roman" w:hAnsi="Times New Roman" w:cs="Times New Roman"/>
          <w:sz w:val="28"/>
          <w:szCs w:val="28"/>
          <w:lang w:val="kk-KZ" w:eastAsia="ru-RU"/>
        </w:rPr>
      </w:pPr>
      <w:r w:rsidRPr="004A1A95">
        <w:rPr>
          <w:rFonts w:ascii="Times New Roman" w:eastAsia="Times New Roman" w:hAnsi="Times New Roman" w:cs="Times New Roman"/>
          <w:b/>
          <w:sz w:val="28"/>
          <w:szCs w:val="28"/>
          <w:lang w:val="kk-KZ" w:eastAsia="ru-RU"/>
        </w:rPr>
        <w:t xml:space="preserve">1. Инвестициялық бағдарламалардың орындалуы туралы. </w:t>
      </w:r>
      <w:r>
        <w:rPr>
          <w:rFonts w:ascii="Times New Roman" w:eastAsia="Times New Roman" w:hAnsi="Times New Roman" w:cs="Times New Roman"/>
          <w:sz w:val="28"/>
          <w:szCs w:val="28"/>
          <w:lang w:val="kk-KZ" w:eastAsia="ru-RU"/>
        </w:rPr>
        <w:t>Б</w:t>
      </w:r>
      <w:r w:rsidRPr="004A1A95">
        <w:rPr>
          <w:rFonts w:ascii="Times New Roman" w:eastAsia="Times New Roman" w:hAnsi="Times New Roman" w:cs="Times New Roman"/>
          <w:sz w:val="28"/>
          <w:szCs w:val="28"/>
          <w:lang w:val="kk-KZ" w:eastAsia="ru-RU"/>
        </w:rPr>
        <w:t xml:space="preserve">екітілген 1 335,6 млн.теңге сомаға (2021 жылға көшірілгендерді есепке алмағанда 1 298 млн. теңге) </w:t>
      </w:r>
      <w:r>
        <w:rPr>
          <w:rFonts w:ascii="Times New Roman" w:eastAsia="Times New Roman" w:hAnsi="Times New Roman" w:cs="Times New Roman"/>
          <w:sz w:val="28"/>
          <w:szCs w:val="28"/>
          <w:lang w:val="kk-KZ" w:eastAsia="ru-RU"/>
        </w:rPr>
        <w:t>«</w:t>
      </w:r>
      <w:r w:rsidRPr="004A1A95">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4A1A95">
        <w:rPr>
          <w:rFonts w:ascii="Times New Roman" w:eastAsia="Times New Roman" w:hAnsi="Times New Roman" w:cs="Times New Roman"/>
          <w:sz w:val="28"/>
          <w:szCs w:val="28"/>
          <w:lang w:val="kk-KZ" w:eastAsia="ru-RU"/>
        </w:rPr>
        <w:t xml:space="preserve"> АҚ 2020 жылға арналған инвестициялық бағдарламасы 1 102 млн. теңгеге орындалды. </w:t>
      </w:r>
      <w:r w:rsidRPr="00DE6DFB">
        <w:rPr>
          <w:rFonts w:ascii="Times New Roman" w:eastAsia="Times New Roman" w:hAnsi="Times New Roman" w:cs="Times New Roman"/>
          <w:sz w:val="28"/>
          <w:szCs w:val="28"/>
          <w:lang w:val="kk-KZ" w:eastAsia="ru-RU"/>
        </w:rPr>
        <w:t xml:space="preserve">Сондай-ақ 2020 жылы 182,87 млн.теңге сомасына 2019 жылғы инвестициялық бағдарламаның іс-шаралары орындалды, оның орындалу мерзімі 2019 жылдан 2020 жылға ауыстырылды. Заттай көріністе </w:t>
      </w:r>
      <w:r w:rsidR="00DE6DFB">
        <w:rPr>
          <w:rFonts w:ascii="Times New Roman" w:eastAsia="Times New Roman" w:hAnsi="Times New Roman" w:cs="Times New Roman"/>
          <w:sz w:val="28"/>
          <w:szCs w:val="28"/>
          <w:lang w:val="kk-KZ" w:eastAsia="ru-RU"/>
        </w:rPr>
        <w:t xml:space="preserve">бекітілген </w:t>
      </w:r>
      <w:r w:rsidRPr="00DE6DFB">
        <w:rPr>
          <w:rFonts w:ascii="Times New Roman" w:eastAsia="Times New Roman" w:hAnsi="Times New Roman" w:cs="Times New Roman"/>
          <w:sz w:val="28"/>
          <w:szCs w:val="28"/>
          <w:lang w:val="kk-KZ" w:eastAsia="ru-RU"/>
        </w:rPr>
        <w:t xml:space="preserve">іс-шаралардың орындалуы 100% - ды құрады. 2020 жылы </w:t>
      </w:r>
      <w:r>
        <w:rPr>
          <w:rFonts w:ascii="Times New Roman" w:eastAsia="Times New Roman" w:hAnsi="Times New Roman" w:cs="Times New Roman"/>
          <w:sz w:val="28"/>
          <w:szCs w:val="28"/>
          <w:lang w:val="kk-KZ" w:eastAsia="ru-RU"/>
        </w:rPr>
        <w:t>н</w:t>
      </w:r>
      <w:r w:rsidRPr="00DE6DFB">
        <w:rPr>
          <w:rFonts w:ascii="Times New Roman" w:eastAsia="Times New Roman" w:hAnsi="Times New Roman" w:cs="Times New Roman"/>
          <w:sz w:val="28"/>
          <w:szCs w:val="28"/>
          <w:lang w:val="kk-KZ" w:eastAsia="ru-RU"/>
        </w:rPr>
        <w:t>ақты орындалған іс - шаралардың жалпы сомасынан 32,5% - жылу ж</w:t>
      </w:r>
      <w:r>
        <w:rPr>
          <w:rFonts w:ascii="Times New Roman" w:eastAsia="Times New Roman" w:hAnsi="Times New Roman" w:cs="Times New Roman"/>
          <w:sz w:val="28"/>
          <w:szCs w:val="28"/>
          <w:lang w:val="kk-KZ" w:eastAsia="ru-RU"/>
        </w:rPr>
        <w:t>үйе</w:t>
      </w:r>
      <w:r w:rsidRPr="00DE6DFB">
        <w:rPr>
          <w:rFonts w:ascii="Times New Roman" w:eastAsia="Times New Roman" w:hAnsi="Times New Roman" w:cs="Times New Roman"/>
          <w:sz w:val="28"/>
          <w:szCs w:val="28"/>
          <w:lang w:val="kk-KZ" w:eastAsia="ru-RU"/>
        </w:rPr>
        <w:t xml:space="preserve">лері мен ондағы құрылыстарды күрделі жөндеу, 16,6% - жылу энергиясын өндірудің технологиялық процестерінің қазандықтары мен жабдықтарын жөндеу, 16,4% - қоршаған ортаға теріс әсерді төмендетуге бағытталған іс-шаралар, </w:t>
      </w:r>
      <w:r w:rsidR="00DE6DFB" w:rsidRPr="00DE6DFB">
        <w:rPr>
          <w:rFonts w:ascii="Times New Roman" w:eastAsia="Times New Roman" w:hAnsi="Times New Roman" w:cs="Times New Roman"/>
          <w:sz w:val="28"/>
          <w:szCs w:val="28"/>
          <w:lang w:val="kk-KZ" w:eastAsia="ru-RU"/>
        </w:rPr>
        <w:t>12,3 % - ЕҚДБ қаражатын тарта отырып, Өскемен қаласын жылумен жабдықтауды жаңғырту бойынша жобаны іске асыру</w:t>
      </w:r>
      <w:r w:rsidRPr="00DE6DFB">
        <w:rPr>
          <w:rFonts w:ascii="Times New Roman" w:eastAsia="Times New Roman" w:hAnsi="Times New Roman" w:cs="Times New Roman"/>
          <w:sz w:val="28"/>
          <w:szCs w:val="28"/>
          <w:lang w:val="kk-KZ" w:eastAsia="ru-RU"/>
        </w:rPr>
        <w:t xml:space="preserve">, 9,8% - өндірістік </w:t>
      </w:r>
      <w:r>
        <w:rPr>
          <w:rFonts w:ascii="Times New Roman" w:eastAsia="Times New Roman" w:hAnsi="Times New Roman" w:cs="Times New Roman"/>
          <w:sz w:val="28"/>
          <w:szCs w:val="28"/>
          <w:lang w:val="kk-KZ" w:eastAsia="ru-RU"/>
        </w:rPr>
        <w:t>нысандарды</w:t>
      </w:r>
      <w:r w:rsidRPr="00DE6DFB">
        <w:rPr>
          <w:rFonts w:ascii="Times New Roman" w:eastAsia="Times New Roman" w:hAnsi="Times New Roman" w:cs="Times New Roman"/>
          <w:sz w:val="28"/>
          <w:szCs w:val="28"/>
          <w:lang w:val="kk-KZ" w:eastAsia="ru-RU"/>
        </w:rPr>
        <w:t>, БӨҚжА аспаптарын электрмен жабдықтауды жөндеу, 8,5% - ескірген жабдықты ауыстыру және жаңа жабдықты сатып алу, – 3%, ғимараттар мен құрылыстарды күрделі жөндеу – 0,9%</w:t>
      </w:r>
      <w:r>
        <w:rPr>
          <w:rFonts w:ascii="Times New Roman" w:eastAsia="Times New Roman" w:hAnsi="Times New Roman" w:cs="Times New Roman"/>
          <w:sz w:val="28"/>
          <w:szCs w:val="28"/>
          <w:lang w:val="kk-KZ" w:eastAsia="ru-RU"/>
        </w:rPr>
        <w:t xml:space="preserve"> құрады</w:t>
      </w:r>
      <w:r w:rsidRPr="00DE6DFB">
        <w:rPr>
          <w:rFonts w:ascii="Times New Roman" w:eastAsia="Times New Roman" w:hAnsi="Times New Roman" w:cs="Times New Roman"/>
          <w:sz w:val="28"/>
          <w:szCs w:val="28"/>
          <w:lang w:val="kk-KZ" w:eastAsia="ru-RU"/>
        </w:rPr>
        <w:t>.</w:t>
      </w:r>
    </w:p>
    <w:p w14:paraId="5B2D5C3C" w14:textId="6E80F4EF" w:rsidR="004A1A95" w:rsidRPr="00DE6DFB" w:rsidRDefault="004A1A95" w:rsidP="004A1A95">
      <w:pPr>
        <w:spacing w:after="0" w:line="240" w:lineRule="auto"/>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b/>
          <w:sz w:val="28"/>
          <w:szCs w:val="28"/>
          <w:lang w:val="kk-KZ" w:eastAsia="ru-RU"/>
        </w:rPr>
        <w:t xml:space="preserve">2. </w:t>
      </w:r>
      <w:r>
        <w:rPr>
          <w:rFonts w:ascii="Times New Roman" w:eastAsia="Times New Roman" w:hAnsi="Times New Roman" w:cs="Times New Roman"/>
          <w:b/>
          <w:sz w:val="28"/>
          <w:szCs w:val="28"/>
          <w:lang w:val="kk-KZ" w:eastAsia="ru-RU"/>
        </w:rPr>
        <w:t>«</w:t>
      </w:r>
      <w:r w:rsidRPr="00DE6DFB">
        <w:rPr>
          <w:rFonts w:ascii="Times New Roman" w:eastAsia="Times New Roman" w:hAnsi="Times New Roman" w:cs="Times New Roman"/>
          <w:b/>
          <w:sz w:val="28"/>
          <w:szCs w:val="28"/>
          <w:lang w:val="kk-KZ" w:eastAsia="ru-RU"/>
        </w:rPr>
        <w:t>ӨЖЖ</w:t>
      </w:r>
      <w:r>
        <w:rPr>
          <w:rFonts w:ascii="Times New Roman" w:eastAsia="Times New Roman" w:hAnsi="Times New Roman" w:cs="Times New Roman"/>
          <w:b/>
          <w:sz w:val="28"/>
          <w:szCs w:val="28"/>
          <w:lang w:val="kk-KZ" w:eastAsia="ru-RU"/>
        </w:rPr>
        <w:t>»</w:t>
      </w:r>
      <w:r w:rsidRPr="00DE6DFB">
        <w:rPr>
          <w:rFonts w:ascii="Times New Roman" w:eastAsia="Times New Roman" w:hAnsi="Times New Roman" w:cs="Times New Roman"/>
          <w:b/>
          <w:sz w:val="28"/>
          <w:szCs w:val="28"/>
          <w:lang w:val="kk-KZ" w:eastAsia="ru-RU"/>
        </w:rPr>
        <w:t>АҚ-ның 2020 жылғы қызметінің негізгі қаржы-экономикалық көрсеткіштері туралы.</w:t>
      </w:r>
      <w:r w:rsidRPr="00DE6DF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2020 жылғы 31 желтоқсанда аяқталатын жыл ішіндегі жиынтық пайда туралы есепке</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 xml:space="preserve"> сәйкес жиынтық кіріс 8 120 млн.теңгені құрады. КТС ескерілген шығындар 8 346,7 млн.теңгені құрады. Нәтижесінде, салық салынғаннан кейін кәсіпорынның шығыны 226,6 млн.теңгені құрады.</w:t>
      </w:r>
    </w:p>
    <w:p w14:paraId="76384B93" w14:textId="35B5A8AD" w:rsidR="004A1A95" w:rsidRPr="00DE6DFB" w:rsidRDefault="004A1A95" w:rsidP="004A1A95">
      <w:pPr>
        <w:spacing w:after="0" w:line="240" w:lineRule="auto"/>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b/>
          <w:sz w:val="28"/>
          <w:szCs w:val="28"/>
          <w:lang w:val="kk-KZ" w:eastAsia="ru-RU"/>
        </w:rPr>
        <w:t>3. 2020 жылға реттеліп көрсетілетін қызметтердің көлемі туралы.</w:t>
      </w:r>
      <w:r w:rsidRPr="00DE6DFB">
        <w:rPr>
          <w:rFonts w:ascii="Times New Roman" w:eastAsia="Times New Roman" w:hAnsi="Times New Roman" w:cs="Times New Roman"/>
          <w:sz w:val="28"/>
          <w:szCs w:val="28"/>
          <w:lang w:val="kk-KZ" w:eastAsia="ru-RU"/>
        </w:rPr>
        <w:t xml:space="preserve"> Есепті жылы жылу энергиясы 1900 мың Гкал сатылды, бұл тарифтік сметада бекітілген көлемдерден 3% - ға жоғары. Бекітілген тарифтік сметамен салыстырғанда 2020 жылы жылу энергиясын тұтыну көлемінің ұлғаюы қаланың </w:t>
      </w:r>
      <w:r w:rsidR="004052D8">
        <w:rPr>
          <w:rFonts w:ascii="Times New Roman" w:eastAsia="Times New Roman" w:hAnsi="Times New Roman" w:cs="Times New Roman"/>
          <w:sz w:val="28"/>
          <w:szCs w:val="28"/>
          <w:lang w:val="kk-KZ" w:eastAsia="ru-RU"/>
        </w:rPr>
        <w:t>с</w:t>
      </w:r>
      <w:r w:rsidRPr="00DE6DFB">
        <w:rPr>
          <w:rFonts w:ascii="Times New Roman" w:eastAsia="Times New Roman" w:hAnsi="Times New Roman" w:cs="Times New Roman"/>
          <w:sz w:val="28"/>
          <w:szCs w:val="28"/>
          <w:lang w:val="kk-KZ" w:eastAsia="ru-RU"/>
        </w:rPr>
        <w:t xml:space="preserve">ол жақ жағалау бөлігінде </w:t>
      </w:r>
      <w:r w:rsidR="004052D8">
        <w:rPr>
          <w:rFonts w:ascii="Times New Roman" w:eastAsia="Times New Roman" w:hAnsi="Times New Roman" w:cs="Times New Roman"/>
          <w:sz w:val="28"/>
          <w:szCs w:val="28"/>
          <w:lang w:val="kk-KZ" w:eastAsia="ru-RU"/>
        </w:rPr>
        <w:t>МТЖ</w:t>
      </w:r>
      <w:r w:rsidRPr="00DE6DFB">
        <w:rPr>
          <w:rFonts w:ascii="Times New Roman" w:eastAsia="Times New Roman" w:hAnsi="Times New Roman" w:cs="Times New Roman"/>
          <w:sz w:val="28"/>
          <w:szCs w:val="28"/>
          <w:lang w:val="kk-KZ" w:eastAsia="ru-RU"/>
        </w:rPr>
        <w:t xml:space="preserve"> белсенді құрылысының нәтижесінде жаңа тұтынушылардың қосылуына, сондай-ақ Жаңа Согра кенті, Радужный ауылы және Солнечный ауылы тұтынушыларының жылу ж</w:t>
      </w:r>
      <w:r w:rsidR="004052D8">
        <w:rPr>
          <w:rFonts w:ascii="Times New Roman" w:eastAsia="Times New Roman" w:hAnsi="Times New Roman" w:cs="Times New Roman"/>
          <w:sz w:val="28"/>
          <w:szCs w:val="28"/>
          <w:lang w:val="kk-KZ" w:eastAsia="ru-RU"/>
        </w:rPr>
        <w:t>үйе</w:t>
      </w:r>
      <w:r w:rsidRPr="00DE6DFB">
        <w:rPr>
          <w:rFonts w:ascii="Times New Roman" w:eastAsia="Times New Roman" w:hAnsi="Times New Roman" w:cs="Times New Roman"/>
          <w:sz w:val="28"/>
          <w:szCs w:val="28"/>
          <w:lang w:val="kk-KZ" w:eastAsia="ru-RU"/>
        </w:rPr>
        <w:t>леріне қосылуына байланысты болды.</w:t>
      </w:r>
    </w:p>
    <w:p w14:paraId="68B8482D" w14:textId="77777777" w:rsidR="004A1A95" w:rsidRPr="00DE6DFB" w:rsidRDefault="004A1A95" w:rsidP="004A1A95">
      <w:pPr>
        <w:spacing w:after="0" w:line="240" w:lineRule="auto"/>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sz w:val="28"/>
          <w:szCs w:val="28"/>
          <w:lang w:val="kk-KZ" w:eastAsia="ru-RU"/>
        </w:rPr>
        <w:t>Реттелетін қызметтер 2020 жылы тиісті сапамен орындалды.</w:t>
      </w:r>
    </w:p>
    <w:p w14:paraId="71C708AE" w14:textId="79647EF9" w:rsidR="004A1A95" w:rsidRPr="00DE6DFB" w:rsidRDefault="004A1A95" w:rsidP="004A1A95">
      <w:pPr>
        <w:spacing w:after="0" w:line="240" w:lineRule="auto"/>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sz w:val="28"/>
          <w:szCs w:val="28"/>
          <w:lang w:val="kk-KZ" w:eastAsia="ru-RU"/>
        </w:rPr>
        <w:lastRenderedPageBreak/>
        <w:t xml:space="preserve">Жылу беру жүйесіне жылу беру кестеге сәйкес қамтамасыз етілді. Сыртқы ауаның нақты температурасын ескере отырып, 2020 жылғы желтоқсанда үйге ортақ есептеу аспаптары жоқ тұтынушыларға жылыту бойынша көрсетілетін қызметтердің құнын қайта есептеу орындалды. </w:t>
      </w:r>
      <w:r w:rsidR="00DE6DFB">
        <w:rPr>
          <w:rFonts w:ascii="Times New Roman" w:eastAsia="Times New Roman" w:hAnsi="Times New Roman" w:cs="Times New Roman"/>
          <w:sz w:val="28"/>
          <w:szCs w:val="28"/>
          <w:lang w:val="kk-KZ" w:eastAsia="ru-RU"/>
        </w:rPr>
        <w:t xml:space="preserve">Тұтынушыларға қайтарылу  </w:t>
      </w:r>
      <w:r w:rsidRPr="00DE6DFB">
        <w:rPr>
          <w:rFonts w:ascii="Times New Roman" w:eastAsia="Times New Roman" w:hAnsi="Times New Roman" w:cs="Times New Roman"/>
          <w:sz w:val="28"/>
          <w:szCs w:val="28"/>
          <w:lang w:val="kk-KZ" w:eastAsia="ru-RU"/>
        </w:rPr>
        <w:t>сомасы ҚҚС-мен 168,7 млн.теңгені құрады.</w:t>
      </w:r>
    </w:p>
    <w:p w14:paraId="20B4B590" w14:textId="6E40D13F" w:rsidR="004052D8" w:rsidRPr="00DE6DFB" w:rsidRDefault="004052D8" w:rsidP="004052D8">
      <w:pPr>
        <w:spacing w:after="0"/>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b/>
          <w:sz w:val="28"/>
          <w:szCs w:val="28"/>
          <w:lang w:val="kk-KZ" w:eastAsia="ru-RU"/>
        </w:rPr>
        <w:t xml:space="preserve">4. Реттеліп көрсетілетін қызметтерді тұтынушылармен жүргізілетін жұмыс туралы. </w:t>
      </w:r>
      <w:r w:rsidRPr="00DE6DFB">
        <w:rPr>
          <w:rFonts w:ascii="Times New Roman" w:eastAsia="Times New Roman" w:hAnsi="Times New Roman" w:cs="Times New Roman"/>
          <w:sz w:val="28"/>
          <w:szCs w:val="28"/>
          <w:lang w:val="kk-KZ" w:eastAsia="ru-RU"/>
        </w:rPr>
        <w:t xml:space="preserve">2020 жылы дербес қызмет көрсету орталығына 68 571 өтініш келіп түсті (айына 7 000-ға жуық өтініш). Сонымен қатар </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Ө</w:t>
      </w:r>
      <w:r>
        <w:rPr>
          <w:rFonts w:ascii="Times New Roman" w:eastAsia="Times New Roman" w:hAnsi="Times New Roman" w:cs="Times New Roman"/>
          <w:sz w:val="28"/>
          <w:szCs w:val="28"/>
          <w:lang w:val="kk-KZ" w:eastAsia="ru-RU"/>
        </w:rPr>
        <w:t xml:space="preserve">ЖЖ» АҚ </w:t>
      </w:r>
      <w:r w:rsidRPr="00DE6DFB">
        <w:rPr>
          <w:rFonts w:ascii="Times New Roman" w:eastAsia="Times New Roman" w:hAnsi="Times New Roman" w:cs="Times New Roman"/>
          <w:sz w:val="28"/>
          <w:szCs w:val="28"/>
          <w:lang w:val="kk-KZ" w:eastAsia="ru-RU"/>
        </w:rPr>
        <w:t>Call-орталығы 469 262 қоңырау қабылдады. Тәулік бойы автоматты жауап беру құрылғысына есептеу құралдарының 51 962 көрсеткіші қабылданды. Ақпараттық базада электрондық адресі бар 11 474 тұтынушы тіркелген.</w:t>
      </w:r>
    </w:p>
    <w:p w14:paraId="34468A08" w14:textId="7725AB87" w:rsidR="004052D8" w:rsidRPr="00DE6DFB" w:rsidRDefault="004052D8" w:rsidP="004052D8">
      <w:pPr>
        <w:spacing w:after="0"/>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sz w:val="28"/>
          <w:szCs w:val="28"/>
          <w:lang w:val="kk-KZ" w:eastAsia="ru-RU"/>
        </w:rPr>
        <w:t>Жаңа Согра к</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 Радужный және Солнечный а.</w:t>
      </w:r>
      <w:r>
        <w:rPr>
          <w:rFonts w:ascii="Times New Roman" w:eastAsia="Times New Roman" w:hAnsi="Times New Roman" w:cs="Times New Roman"/>
          <w:sz w:val="28"/>
          <w:szCs w:val="28"/>
          <w:lang w:val="kk-KZ" w:eastAsia="ru-RU"/>
        </w:rPr>
        <w:t xml:space="preserve"> </w:t>
      </w:r>
      <w:r w:rsidRPr="00DE6DFB">
        <w:rPr>
          <w:rFonts w:ascii="Times New Roman" w:eastAsia="Times New Roman" w:hAnsi="Times New Roman" w:cs="Times New Roman"/>
          <w:sz w:val="28"/>
          <w:szCs w:val="28"/>
          <w:lang w:val="kk-KZ" w:eastAsia="ru-RU"/>
        </w:rPr>
        <w:t xml:space="preserve">тұратын тұтынушылардың ыңғайлылығы үшін </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ТАЗА ӨСКЕМЕН</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 xml:space="preserve"> ШЖҚ КМҚК абоненттік бөлімінде </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 xml:space="preserve"> АҚ қызмет көрсету </w:t>
      </w:r>
      <w:r>
        <w:rPr>
          <w:rFonts w:ascii="Times New Roman" w:eastAsia="Times New Roman" w:hAnsi="Times New Roman" w:cs="Times New Roman"/>
          <w:sz w:val="28"/>
          <w:szCs w:val="28"/>
          <w:lang w:val="kk-KZ" w:eastAsia="ru-RU"/>
        </w:rPr>
        <w:t>орны</w:t>
      </w:r>
      <w:r w:rsidRPr="00DE6DFB">
        <w:rPr>
          <w:rFonts w:ascii="Times New Roman" w:eastAsia="Times New Roman" w:hAnsi="Times New Roman" w:cs="Times New Roman"/>
          <w:sz w:val="28"/>
          <w:szCs w:val="28"/>
          <w:lang w:val="kk-KZ" w:eastAsia="ru-RU"/>
        </w:rPr>
        <w:t xml:space="preserve"> ашылды, онда тұтынушылар жылумен жабдықтау мәселелері бойынша кеңес ала алады, шарт жасасады/қайта жасасады, ыстық судың жеке аспаптары бойынша </w:t>
      </w:r>
      <w:r>
        <w:rPr>
          <w:rFonts w:ascii="Times New Roman" w:eastAsia="Times New Roman" w:hAnsi="Times New Roman" w:cs="Times New Roman"/>
          <w:sz w:val="28"/>
          <w:szCs w:val="28"/>
          <w:lang w:val="kk-KZ" w:eastAsia="ru-RU"/>
        </w:rPr>
        <w:t>көрсеткіштерді</w:t>
      </w:r>
      <w:r w:rsidRPr="00DE6DFB">
        <w:rPr>
          <w:rFonts w:ascii="Times New Roman" w:eastAsia="Times New Roman" w:hAnsi="Times New Roman" w:cs="Times New Roman"/>
          <w:sz w:val="28"/>
          <w:szCs w:val="28"/>
          <w:lang w:val="kk-KZ" w:eastAsia="ru-RU"/>
        </w:rPr>
        <w:t xml:space="preserve"> бере алады және т. б. көрсеткіштерді беру және төлем сомасын WhatsApp және Telegram (UKTSbot) чат-боты арқылы, сондай-ақ мобильді қосымша арқылы білуге болады. М.Горький көшесі, 61 мекен-жайындағы күту залында көрсеткіштерді қабылдау бойынша ақпараттық киоск орнатылған. Бұл кисок оператормен байланыссыз көрсеткіштерді беруге және төлем сомасын білуге мүмкіндік береді.</w:t>
      </w:r>
    </w:p>
    <w:p w14:paraId="6F0802EB" w14:textId="67DE2D19" w:rsidR="004052D8" w:rsidRPr="00DE6DFB" w:rsidRDefault="004052D8" w:rsidP="004052D8">
      <w:pPr>
        <w:spacing w:after="0" w:line="240" w:lineRule="auto"/>
        <w:ind w:firstLine="709"/>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sz w:val="28"/>
          <w:szCs w:val="28"/>
          <w:lang w:val="kk-KZ" w:eastAsia="ru-RU"/>
        </w:rPr>
        <w:t>2020 жылы қызметкерлердің жұмыс сапасына 19 алғыс және 95 шағым түсті, оның ішінде 1 шағым қызмет көрсету сапасына, 94 шағым жылумен жабдықтау сапасына келіп түсті, барлы</w:t>
      </w:r>
      <w:r>
        <w:rPr>
          <w:rFonts w:ascii="Times New Roman" w:eastAsia="Times New Roman" w:hAnsi="Times New Roman" w:cs="Times New Roman"/>
          <w:sz w:val="28"/>
          <w:szCs w:val="28"/>
          <w:lang w:val="kk-KZ" w:eastAsia="ru-RU"/>
        </w:rPr>
        <w:t xml:space="preserve">қ шағымдар </w:t>
      </w:r>
      <w:r w:rsidRPr="00DE6DFB">
        <w:rPr>
          <w:rFonts w:ascii="Times New Roman" w:eastAsia="Times New Roman" w:hAnsi="Times New Roman" w:cs="Times New Roman"/>
          <w:sz w:val="28"/>
          <w:szCs w:val="28"/>
          <w:lang w:val="kk-KZ" w:eastAsia="ru-RU"/>
        </w:rPr>
        <w:t xml:space="preserve">бойынша талдау жүргізілді, </w:t>
      </w:r>
      <w:r>
        <w:rPr>
          <w:rFonts w:ascii="Times New Roman" w:eastAsia="Times New Roman" w:hAnsi="Times New Roman" w:cs="Times New Roman"/>
          <w:sz w:val="28"/>
          <w:szCs w:val="28"/>
          <w:lang w:val="kk-KZ" w:eastAsia="ru-RU"/>
        </w:rPr>
        <w:t xml:space="preserve">олардың </w:t>
      </w:r>
      <w:r w:rsidRPr="00DE6DFB">
        <w:rPr>
          <w:rFonts w:ascii="Times New Roman" w:eastAsia="Times New Roman" w:hAnsi="Times New Roman" w:cs="Times New Roman"/>
          <w:sz w:val="28"/>
          <w:szCs w:val="28"/>
          <w:lang w:val="kk-KZ" w:eastAsia="ru-RU"/>
        </w:rPr>
        <w:t xml:space="preserve">пайда болу себептері анықталды және түзету әрекеттері жүргізілді. Талдау өтініштердің себептері </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АҚ</w:t>
      </w:r>
      <w:r>
        <w:rPr>
          <w:rFonts w:ascii="Times New Roman" w:eastAsia="Times New Roman" w:hAnsi="Times New Roman" w:cs="Times New Roman"/>
          <w:sz w:val="28"/>
          <w:szCs w:val="28"/>
          <w:lang w:val="kk-KZ" w:eastAsia="ru-RU"/>
        </w:rPr>
        <w:t>-ның</w:t>
      </w:r>
      <w:r w:rsidRPr="00DE6DFB">
        <w:rPr>
          <w:rFonts w:ascii="Times New Roman" w:eastAsia="Times New Roman" w:hAnsi="Times New Roman" w:cs="Times New Roman"/>
          <w:sz w:val="28"/>
          <w:szCs w:val="28"/>
          <w:lang w:val="kk-KZ" w:eastAsia="ru-RU"/>
        </w:rPr>
        <w:t xml:space="preserve"> пайдалану жауапкершілігінің шегінен тыс екенін көрсетті. Жылыту маусымына дайындық мәселелері бар нысандар</w:t>
      </w:r>
      <w:r>
        <w:rPr>
          <w:rFonts w:ascii="Times New Roman" w:eastAsia="Times New Roman" w:hAnsi="Times New Roman" w:cs="Times New Roman"/>
          <w:sz w:val="28"/>
          <w:szCs w:val="28"/>
          <w:lang w:val="kk-KZ" w:eastAsia="ru-RU"/>
        </w:rPr>
        <w:t>д</w:t>
      </w:r>
      <w:r w:rsidRPr="00DE6DFB">
        <w:rPr>
          <w:rFonts w:ascii="Times New Roman" w:eastAsia="Times New Roman" w:hAnsi="Times New Roman" w:cs="Times New Roman"/>
          <w:sz w:val="28"/>
          <w:szCs w:val="28"/>
          <w:lang w:val="kk-KZ" w:eastAsia="ru-RU"/>
        </w:rPr>
        <w:t>а көшпелі кеңестер өткізілді. Сауалнама нәтижелері бойынша тұтынушылардың (халықтың және заңды тұлғалардың) 99% – ы қызмет көрсету сапасына, ал жылумен жабдықтау сапасына тиісінше 98% - ы қанағаттандырылды.</w:t>
      </w:r>
    </w:p>
    <w:p w14:paraId="34F6CFCB" w14:textId="77777777" w:rsidR="004052D8" w:rsidRPr="00DE6DFB" w:rsidRDefault="004052D8" w:rsidP="004052D8">
      <w:pPr>
        <w:spacing w:after="0" w:line="240" w:lineRule="auto"/>
        <w:ind w:firstLine="709"/>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sz w:val="28"/>
          <w:szCs w:val="28"/>
          <w:lang w:val="kk-KZ" w:eastAsia="ru-RU"/>
        </w:rPr>
        <w:t>Instagram және Facebook Instagram әлеуметтік желілерінде кәсіпорынның парақшасы іске қосылды, онда кәсіпорынның қызметі жарияланады, ыстық суды өшіру, бос жұмыс орындары және т.б. бойынша ақпарат орналастырылады, Instagram парақшасында жазылушылар саны 4,5 мыңнан астам адам. Барлық шағымдар мен түсініктемелер жедел режимде пысықталады.</w:t>
      </w:r>
    </w:p>
    <w:p w14:paraId="54003E06" w14:textId="47F6F785" w:rsidR="004052D8" w:rsidRPr="00DE6DFB" w:rsidRDefault="004052D8" w:rsidP="004052D8">
      <w:pPr>
        <w:spacing w:after="0" w:line="240" w:lineRule="auto"/>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b/>
          <w:sz w:val="28"/>
          <w:szCs w:val="28"/>
          <w:lang w:val="kk-KZ" w:eastAsia="ru-RU"/>
        </w:rPr>
        <w:t xml:space="preserve">5. Бекітілген тарифтік сметаның баптардан кейінгі орындалуы туралы. </w:t>
      </w:r>
      <w:r w:rsidR="00F87203">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ӨЖЖ</w:t>
      </w:r>
      <w:r w:rsidR="00F87203">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 xml:space="preserve"> АҚ үшін қолданыстағы жылу энергиясымен жабдықтауға, беруге және өндіруге арналған тарифтік смета ШҚО бойынша ТМРБҚ 2020 жылғы 30 қарашадағы № 162-НҚ бұйрығымен бекітілген. ЖЭО-дан жылу сатып алуды есепке алғанда, </w:t>
      </w:r>
      <w:r w:rsidR="00F87203">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ӨЖЖ</w:t>
      </w:r>
      <w:r w:rsidR="00F87203">
        <w:rPr>
          <w:rFonts w:ascii="Times New Roman" w:eastAsia="Times New Roman" w:hAnsi="Times New Roman" w:cs="Times New Roman"/>
          <w:sz w:val="28"/>
          <w:szCs w:val="28"/>
          <w:lang w:val="kk-KZ" w:eastAsia="ru-RU"/>
        </w:rPr>
        <w:t>»</w:t>
      </w:r>
      <w:r w:rsidRPr="00DE6DFB">
        <w:rPr>
          <w:rFonts w:ascii="Times New Roman" w:eastAsia="Times New Roman" w:hAnsi="Times New Roman" w:cs="Times New Roman"/>
          <w:sz w:val="28"/>
          <w:szCs w:val="28"/>
          <w:lang w:val="kk-KZ" w:eastAsia="ru-RU"/>
        </w:rPr>
        <w:t xml:space="preserve"> АҚ </w:t>
      </w:r>
      <w:r w:rsidR="00F87203" w:rsidRPr="00DE6DFB">
        <w:rPr>
          <w:rFonts w:ascii="Times New Roman" w:eastAsia="Times New Roman" w:hAnsi="Times New Roman" w:cs="Times New Roman"/>
          <w:sz w:val="28"/>
          <w:szCs w:val="28"/>
          <w:lang w:val="kk-KZ" w:eastAsia="ru-RU"/>
        </w:rPr>
        <w:t>-ның ЖЭО-дан жылу сатып алуды есепке алғандағы шығыстары 7 199 млн.теңге тарифтік жоспар кезінде 7 872 млн. теңгені құрады</w:t>
      </w:r>
      <w:r w:rsidRPr="00DE6DFB">
        <w:rPr>
          <w:rFonts w:ascii="Times New Roman" w:eastAsia="Times New Roman" w:hAnsi="Times New Roman" w:cs="Times New Roman"/>
          <w:sz w:val="28"/>
          <w:szCs w:val="28"/>
          <w:lang w:val="kk-KZ" w:eastAsia="ru-RU"/>
        </w:rPr>
        <w:t>. Шығындардың жекелеген баптары</w:t>
      </w:r>
      <w:r w:rsidR="00F87203">
        <w:rPr>
          <w:rFonts w:ascii="Times New Roman" w:eastAsia="Times New Roman" w:hAnsi="Times New Roman" w:cs="Times New Roman"/>
          <w:sz w:val="28"/>
          <w:szCs w:val="28"/>
          <w:lang w:val="kk-KZ" w:eastAsia="ru-RU"/>
        </w:rPr>
        <w:t xml:space="preserve"> бойынша шығындар</w:t>
      </w:r>
      <w:r w:rsidRPr="00DE6DFB">
        <w:rPr>
          <w:rFonts w:ascii="Times New Roman" w:eastAsia="Times New Roman" w:hAnsi="Times New Roman" w:cs="Times New Roman"/>
          <w:sz w:val="28"/>
          <w:szCs w:val="28"/>
          <w:lang w:val="kk-KZ" w:eastAsia="ru-RU"/>
        </w:rPr>
        <w:t xml:space="preserve"> – шикізат пен материалдар, ЖЖМ, тексеру, байланыс, </w:t>
      </w:r>
      <w:r w:rsidR="00F87203">
        <w:rPr>
          <w:rFonts w:ascii="Times New Roman" w:eastAsia="Times New Roman" w:hAnsi="Times New Roman" w:cs="Times New Roman"/>
          <w:sz w:val="28"/>
          <w:szCs w:val="28"/>
          <w:lang w:val="kk-KZ" w:eastAsia="ru-RU"/>
        </w:rPr>
        <w:t>зертте</w:t>
      </w:r>
      <w:r w:rsidRPr="00DE6DFB">
        <w:rPr>
          <w:rFonts w:ascii="Times New Roman" w:eastAsia="Times New Roman" w:hAnsi="Times New Roman" w:cs="Times New Roman"/>
          <w:sz w:val="28"/>
          <w:szCs w:val="28"/>
          <w:lang w:val="kk-KZ" w:eastAsia="ru-RU"/>
        </w:rPr>
        <w:t xml:space="preserve">у, гидрохимиялық жуу және </w:t>
      </w:r>
      <w:r w:rsidRPr="00DE6DFB">
        <w:rPr>
          <w:rFonts w:ascii="Times New Roman" w:eastAsia="Times New Roman" w:hAnsi="Times New Roman" w:cs="Times New Roman"/>
          <w:sz w:val="28"/>
          <w:szCs w:val="28"/>
          <w:lang w:val="kk-KZ" w:eastAsia="ru-RU"/>
        </w:rPr>
        <w:lastRenderedPageBreak/>
        <w:t xml:space="preserve">сығымдау, іске қосу– жөндеу жұмыстары және диагностикалау, ӨЖЖ қызметкерлерін сақтандыру бойынша шығындардың өсуі өндірістік және заңнамалық қажеттіліктен туындады, тозудың, электр энергиясына және мүлік салығына шығындардың өсуі-2017-2020 жылдары салынған және теңгерімге қабылданған желілер мен активтердің </w:t>
      </w:r>
      <w:r w:rsidR="00F87203">
        <w:rPr>
          <w:rFonts w:ascii="Times New Roman" w:eastAsia="Times New Roman" w:hAnsi="Times New Roman" w:cs="Times New Roman"/>
          <w:sz w:val="28"/>
          <w:szCs w:val="28"/>
          <w:lang w:val="kk-KZ" w:eastAsia="ru-RU"/>
        </w:rPr>
        <w:t>е</w:t>
      </w:r>
      <w:r w:rsidRPr="00DE6DFB">
        <w:rPr>
          <w:rFonts w:ascii="Times New Roman" w:eastAsia="Times New Roman" w:hAnsi="Times New Roman" w:cs="Times New Roman"/>
          <w:sz w:val="28"/>
          <w:szCs w:val="28"/>
          <w:lang w:val="kk-KZ" w:eastAsia="ru-RU"/>
        </w:rPr>
        <w:t>леулі көлемдерімен байланысты. Сондай-ақ, сметаның көптеген баптары бойынша тарифтік кірістің тапшылығына байланысты шығыстар тапшылықпен 2020 жылға бекітілді. Жалпы, 2020 жылғы жұмыс қорытындылары бойынша "ӨЖЖ" АҚ шығындарының баптары бойынша үнемдеу жол берілетін 5% - дан аспады.</w:t>
      </w:r>
    </w:p>
    <w:p w14:paraId="22F879CC" w14:textId="4A58E5DA" w:rsidR="00F87203" w:rsidRPr="00DE6DFB" w:rsidRDefault="00F87203" w:rsidP="004052D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4052D8" w:rsidRPr="00DE6DFB">
        <w:rPr>
          <w:rFonts w:ascii="Times New Roman" w:eastAsia="Times New Roman" w:hAnsi="Times New Roman" w:cs="Times New Roman"/>
          <w:sz w:val="28"/>
          <w:szCs w:val="28"/>
          <w:lang w:val="kk-KZ" w:eastAsia="ru-RU"/>
        </w:rPr>
        <w:t>ӨЖЖ</w:t>
      </w:r>
      <w:r>
        <w:rPr>
          <w:rFonts w:ascii="Times New Roman" w:eastAsia="Times New Roman" w:hAnsi="Times New Roman" w:cs="Times New Roman"/>
          <w:sz w:val="28"/>
          <w:szCs w:val="28"/>
          <w:lang w:val="kk-KZ" w:eastAsia="ru-RU"/>
        </w:rPr>
        <w:t>»</w:t>
      </w:r>
      <w:r w:rsidR="004052D8" w:rsidRPr="00DE6DFB">
        <w:rPr>
          <w:rFonts w:ascii="Times New Roman" w:eastAsia="Times New Roman" w:hAnsi="Times New Roman" w:cs="Times New Roman"/>
          <w:sz w:val="28"/>
          <w:szCs w:val="28"/>
          <w:lang w:val="kk-KZ" w:eastAsia="ru-RU"/>
        </w:rPr>
        <w:t xml:space="preserve"> АҚ үшін 2020 жылға арналған сапа, сенімділік және тиімділік көрсеткіштері бекітілмеген.</w:t>
      </w:r>
    </w:p>
    <w:p w14:paraId="068B4E51" w14:textId="60368DF4" w:rsidR="00F87203" w:rsidRDefault="00F87203" w:rsidP="00F87203">
      <w:pPr>
        <w:spacing w:after="0" w:line="240" w:lineRule="auto"/>
        <w:ind w:firstLine="708"/>
        <w:jc w:val="both"/>
        <w:rPr>
          <w:rFonts w:ascii="Times New Roman" w:eastAsia="Times New Roman" w:hAnsi="Times New Roman" w:cs="Times New Roman"/>
          <w:sz w:val="28"/>
          <w:szCs w:val="28"/>
          <w:lang w:val="kk-KZ" w:eastAsia="ru-RU"/>
        </w:rPr>
      </w:pPr>
      <w:r w:rsidRPr="00DE6DFB">
        <w:rPr>
          <w:rFonts w:ascii="Times New Roman" w:eastAsia="Times New Roman" w:hAnsi="Times New Roman" w:cs="Times New Roman"/>
          <w:b/>
          <w:sz w:val="28"/>
          <w:szCs w:val="28"/>
          <w:lang w:val="kk-KZ" w:eastAsia="ru-RU"/>
        </w:rPr>
        <w:t>6. Қызметтің перспективалары, оның ішінде реттеліп көрсетілетін қызметтерге арналған тарифтердің ықтимал өзгерістері туралы.</w:t>
      </w:r>
      <w:r w:rsidRPr="00DE6DFB">
        <w:rPr>
          <w:rFonts w:ascii="Times New Roman" w:eastAsia="Times New Roman" w:hAnsi="Times New Roman" w:cs="Times New Roman"/>
          <w:sz w:val="28"/>
          <w:szCs w:val="28"/>
          <w:lang w:val="kk-KZ" w:eastAsia="ru-RU"/>
        </w:rPr>
        <w:t xml:space="preserve"> </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ӨЖЖ</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АҚ -ның 2021 жылға арналған жоспарында</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3 215 млн.теңге сомасына бекітілген инвестициялық бағдарламаның іс-шараларын орындау</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оның ішінде республикалық және жергілікті бюджеттен қоса қар</w:t>
      </w:r>
      <w:r w:rsidR="00CC736B">
        <w:rPr>
          <w:rFonts w:ascii="Times New Roman" w:eastAsia="Times New Roman" w:hAnsi="Times New Roman" w:cs="Times New Roman"/>
          <w:sz w:val="28"/>
          <w:szCs w:val="28"/>
          <w:lang w:val="kk-KZ" w:eastAsia="ru-RU"/>
        </w:rPr>
        <w:t>жыландырумен ЕҚДБ-мен кредиттік»</w:t>
      </w:r>
      <w:r w:rsidR="00CC736B" w:rsidRPr="00CC736B">
        <w:rPr>
          <w:rFonts w:ascii="Times New Roman" w:eastAsia="Times New Roman" w:hAnsi="Times New Roman" w:cs="Times New Roman"/>
          <w:sz w:val="28"/>
          <w:szCs w:val="28"/>
          <w:lang w:val="kk-KZ" w:eastAsia="ru-RU"/>
        </w:rPr>
        <w:t xml:space="preserve"> жобасын іске асыру бойынша жұмыстарды орындау – 2 136,5 млн теңгеге; жылу желілерін қайта құру, күрделі жөндеу және ауыстыру бойынша жұмыстарды 665 млн теңгеге; қазандықтарды күрделі жөндеу, қазандық-қосалқы жабдықтарды </w:t>
      </w:r>
      <w:r w:rsidR="00CC736B">
        <w:rPr>
          <w:rFonts w:ascii="Times New Roman" w:eastAsia="Times New Roman" w:hAnsi="Times New Roman" w:cs="Times New Roman"/>
          <w:sz w:val="28"/>
          <w:szCs w:val="28"/>
          <w:lang w:val="kk-KZ" w:eastAsia="ru-RU"/>
        </w:rPr>
        <w:t>қайта жаңарту</w:t>
      </w:r>
      <w:r w:rsidR="00CC736B" w:rsidRPr="00CC736B">
        <w:rPr>
          <w:rFonts w:ascii="Times New Roman" w:eastAsia="Times New Roman" w:hAnsi="Times New Roman" w:cs="Times New Roman"/>
          <w:sz w:val="28"/>
          <w:szCs w:val="28"/>
          <w:lang w:val="kk-KZ" w:eastAsia="ru-RU"/>
        </w:rPr>
        <w:t xml:space="preserve"> бойынша жұмыстарды 192 млн теңгеге орындау; энергия үнемдеу және электрмен жабдықтау нысандарын 131 млн теңгеге орындау; қоршаған ортаға теріс әсерді 63 млн теңгеге төмендету жөніндегі іс – шараларды орындау; қолданыстағы ғимараттар мен құрылыстарды </w:t>
      </w:r>
      <w:r w:rsidR="00CC736B">
        <w:rPr>
          <w:rFonts w:ascii="Times New Roman" w:eastAsia="Times New Roman" w:hAnsi="Times New Roman" w:cs="Times New Roman"/>
          <w:sz w:val="28"/>
          <w:szCs w:val="28"/>
          <w:lang w:val="kk-KZ" w:eastAsia="ru-RU"/>
        </w:rPr>
        <w:t>қайта жаңарту</w:t>
      </w:r>
      <w:r w:rsidR="00CC736B" w:rsidRPr="00CC736B">
        <w:rPr>
          <w:rFonts w:ascii="Times New Roman" w:eastAsia="Times New Roman" w:hAnsi="Times New Roman" w:cs="Times New Roman"/>
          <w:sz w:val="28"/>
          <w:szCs w:val="28"/>
          <w:lang w:val="kk-KZ" w:eastAsia="ru-RU"/>
        </w:rPr>
        <w:t xml:space="preserve"> жөніндегі іс-шараларды 19 млн теңгеге орындау; </w:t>
      </w:r>
      <w:r w:rsidR="00CC736B">
        <w:rPr>
          <w:rFonts w:ascii="Times New Roman" w:eastAsia="Times New Roman" w:hAnsi="Times New Roman" w:cs="Times New Roman"/>
          <w:sz w:val="28"/>
          <w:szCs w:val="28"/>
          <w:lang w:val="kk-KZ" w:eastAsia="ru-RU"/>
        </w:rPr>
        <w:t>а</w:t>
      </w:r>
      <w:r w:rsidR="00CC736B" w:rsidRPr="00CC736B">
        <w:rPr>
          <w:rFonts w:ascii="Times New Roman" w:eastAsia="Times New Roman" w:hAnsi="Times New Roman" w:cs="Times New Roman"/>
          <w:sz w:val="28"/>
          <w:szCs w:val="28"/>
          <w:lang w:val="kk-KZ" w:eastAsia="ru-RU"/>
        </w:rPr>
        <w:t>қпараттық технологиялар құралдарын жаңартуға 6 млн теңге; ескірген жабдықтарды ауыстыруға және жаңа жабдықтар сатып алуға</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w:t>
      </w:r>
      <w:r w:rsidR="00CC736B">
        <w:rPr>
          <w:rFonts w:ascii="Times New Roman" w:eastAsia="Times New Roman" w:hAnsi="Times New Roman" w:cs="Times New Roman"/>
          <w:sz w:val="28"/>
          <w:szCs w:val="28"/>
          <w:lang w:val="kk-KZ" w:eastAsia="ru-RU"/>
        </w:rPr>
        <w:t xml:space="preserve"> </w:t>
      </w:r>
      <w:r w:rsidR="00CC736B" w:rsidRPr="00CC736B">
        <w:rPr>
          <w:rFonts w:ascii="Times New Roman" w:eastAsia="Times New Roman" w:hAnsi="Times New Roman" w:cs="Times New Roman"/>
          <w:sz w:val="28"/>
          <w:szCs w:val="28"/>
          <w:lang w:val="kk-KZ" w:eastAsia="ru-RU"/>
        </w:rPr>
        <w:t xml:space="preserve">1,8 млн теңге. </w:t>
      </w:r>
      <w:r w:rsidR="00EA15C7" w:rsidRPr="00EA15C7">
        <w:rPr>
          <w:rFonts w:ascii="Times New Roman" w:eastAsia="Times New Roman" w:hAnsi="Times New Roman" w:cs="Times New Roman"/>
          <w:sz w:val="28"/>
          <w:szCs w:val="28"/>
          <w:lang w:val="kk-KZ" w:eastAsia="ru-RU"/>
        </w:rPr>
        <w:t>Сондай - ақ, жоспарларда-2020 жылғы іс-шараларды орындау, оларды орындау мерзімі 2021 жылға 37 612 мың теңгеге ауыстырылған. 2021 жылға жылу желілерінің 12 учаскесін жөндеу жоспарланған (4449 п.м.). 2021 жылы қызмет көрсету сапасын жақсарту бойынша бірқатар іс-шараларды енгізу жоспарлануда:</w:t>
      </w:r>
      <w:r w:rsidR="00EA15C7">
        <w:rPr>
          <w:rFonts w:ascii="Times New Roman" w:eastAsia="Times New Roman" w:hAnsi="Times New Roman" w:cs="Times New Roman"/>
          <w:sz w:val="28"/>
          <w:szCs w:val="28"/>
          <w:lang w:val="kk-KZ" w:eastAsia="ru-RU"/>
        </w:rPr>
        <w:t xml:space="preserve"> </w:t>
      </w:r>
      <w:r w:rsidRPr="00CC736B">
        <w:rPr>
          <w:rFonts w:ascii="Times New Roman" w:eastAsia="Times New Roman" w:hAnsi="Times New Roman" w:cs="Times New Roman"/>
          <w:sz w:val="28"/>
          <w:szCs w:val="28"/>
          <w:lang w:val="kk-KZ" w:eastAsia="ru-RU"/>
        </w:rPr>
        <w:t xml:space="preserve">Телеграмбот арқылы есеп айырысу парағын жүктеу функциясын әзірлеу, мобильді қосымша арқылы салыстырып тексеру актісін алу бойынша функционал әзірлеу, Жаңа Согра кентінде Өскемен көшесі, 14а мекен-жайында тұрақты қызмет көрсету </w:t>
      </w:r>
      <w:r w:rsidR="00CC736B">
        <w:rPr>
          <w:rFonts w:ascii="Times New Roman" w:eastAsia="Times New Roman" w:hAnsi="Times New Roman" w:cs="Times New Roman"/>
          <w:sz w:val="28"/>
          <w:szCs w:val="28"/>
          <w:lang w:val="kk-KZ" w:eastAsia="ru-RU"/>
        </w:rPr>
        <w:t>орны</w:t>
      </w:r>
      <w:r w:rsidRPr="00CC736B">
        <w:rPr>
          <w:rFonts w:ascii="Times New Roman" w:eastAsia="Times New Roman" w:hAnsi="Times New Roman" w:cs="Times New Roman"/>
          <w:sz w:val="28"/>
          <w:szCs w:val="28"/>
          <w:lang w:val="kk-KZ" w:eastAsia="ru-RU"/>
        </w:rPr>
        <w:t>н ұйымдастыру</w:t>
      </w:r>
      <w:r w:rsidR="00EA15C7">
        <w:rPr>
          <w:rFonts w:ascii="Times New Roman" w:eastAsia="Times New Roman" w:hAnsi="Times New Roman" w:cs="Times New Roman"/>
          <w:sz w:val="28"/>
          <w:szCs w:val="28"/>
          <w:lang w:val="kk-KZ" w:eastAsia="ru-RU"/>
        </w:rPr>
        <w:t xml:space="preserve">, сонымен қатар </w:t>
      </w:r>
      <w:r w:rsidR="00556AAC">
        <w:rPr>
          <w:rFonts w:ascii="Times New Roman" w:eastAsia="Times New Roman" w:hAnsi="Times New Roman" w:cs="Times New Roman"/>
          <w:sz w:val="28"/>
          <w:szCs w:val="28"/>
          <w:lang w:val="kk-KZ" w:eastAsia="ru-RU"/>
        </w:rPr>
        <w:t xml:space="preserve"> </w:t>
      </w:r>
      <w:r w:rsidRPr="00CC736B">
        <w:rPr>
          <w:rFonts w:ascii="Times New Roman" w:eastAsia="Times New Roman" w:hAnsi="Times New Roman" w:cs="Times New Roman"/>
          <w:sz w:val="28"/>
          <w:szCs w:val="28"/>
          <w:lang w:val="kk-KZ" w:eastAsia="ru-RU"/>
        </w:rPr>
        <w:t xml:space="preserve">тұтынушылардың </w:t>
      </w:r>
      <w:r w:rsidR="00CC736B">
        <w:rPr>
          <w:rFonts w:ascii="Times New Roman" w:eastAsia="Times New Roman" w:hAnsi="Times New Roman" w:cs="Times New Roman"/>
          <w:sz w:val="28"/>
          <w:szCs w:val="28"/>
          <w:lang w:val="kk-KZ" w:eastAsia="ru-RU"/>
        </w:rPr>
        <w:t>нысандарында</w:t>
      </w:r>
      <w:r w:rsidRPr="00CC736B">
        <w:rPr>
          <w:rFonts w:ascii="Times New Roman" w:eastAsia="Times New Roman" w:hAnsi="Times New Roman" w:cs="Times New Roman"/>
          <w:sz w:val="28"/>
          <w:szCs w:val="28"/>
          <w:lang w:val="kk-KZ" w:eastAsia="ru-RU"/>
        </w:rPr>
        <w:t xml:space="preserve"> жылу энергиясын есептеу аспаптарынан </w:t>
      </w:r>
      <w:r w:rsidR="00CC736B" w:rsidRPr="00CC736B">
        <w:rPr>
          <w:rFonts w:ascii="Times New Roman" w:eastAsia="Times New Roman" w:hAnsi="Times New Roman" w:cs="Times New Roman"/>
          <w:sz w:val="28"/>
          <w:szCs w:val="28"/>
          <w:lang w:val="kk-KZ" w:eastAsia="ru-RU"/>
        </w:rPr>
        <w:t xml:space="preserve">(ЖҮЕА) </w:t>
      </w:r>
      <w:r w:rsidRPr="00CC736B">
        <w:rPr>
          <w:rFonts w:ascii="Times New Roman" w:eastAsia="Times New Roman" w:hAnsi="Times New Roman" w:cs="Times New Roman"/>
          <w:sz w:val="28"/>
          <w:szCs w:val="28"/>
          <w:lang w:val="kk-KZ" w:eastAsia="ru-RU"/>
        </w:rPr>
        <w:t xml:space="preserve">деректерді беру құрылғыларының </w:t>
      </w:r>
      <w:r w:rsidR="000F678F" w:rsidRPr="00CC736B">
        <w:rPr>
          <w:rFonts w:ascii="Times New Roman" w:eastAsia="Times New Roman" w:hAnsi="Times New Roman" w:cs="Times New Roman"/>
          <w:sz w:val="28"/>
          <w:szCs w:val="28"/>
          <w:lang w:val="kk-KZ" w:eastAsia="ru-RU"/>
        </w:rPr>
        <w:t xml:space="preserve">кемінде 30 данасын </w:t>
      </w:r>
      <w:r w:rsidR="00CC736B" w:rsidRPr="00CC736B">
        <w:rPr>
          <w:rFonts w:ascii="Times New Roman" w:eastAsia="Times New Roman" w:hAnsi="Times New Roman" w:cs="Times New Roman"/>
          <w:sz w:val="28"/>
          <w:szCs w:val="28"/>
          <w:lang w:val="kk-KZ" w:eastAsia="ru-RU"/>
        </w:rPr>
        <w:t xml:space="preserve">(GSM стандартының модемдерінен) </w:t>
      </w:r>
      <w:r w:rsidRPr="00CC736B">
        <w:rPr>
          <w:rFonts w:ascii="Times New Roman" w:eastAsia="Times New Roman" w:hAnsi="Times New Roman" w:cs="Times New Roman"/>
          <w:sz w:val="28"/>
          <w:szCs w:val="28"/>
          <w:lang w:val="kk-KZ" w:eastAsia="ru-RU"/>
        </w:rPr>
        <w:t>орнату</w:t>
      </w:r>
      <w:r w:rsidR="00CC736B">
        <w:rPr>
          <w:rFonts w:ascii="Times New Roman" w:eastAsia="Times New Roman" w:hAnsi="Times New Roman" w:cs="Times New Roman"/>
          <w:sz w:val="28"/>
          <w:szCs w:val="28"/>
          <w:lang w:val="kk-KZ" w:eastAsia="ru-RU"/>
        </w:rPr>
        <w:t xml:space="preserve"> болып табылады</w:t>
      </w:r>
      <w:r w:rsidRPr="00CC736B">
        <w:rPr>
          <w:rFonts w:ascii="Times New Roman" w:eastAsia="Times New Roman" w:hAnsi="Times New Roman" w:cs="Times New Roman"/>
          <w:sz w:val="28"/>
          <w:szCs w:val="28"/>
          <w:lang w:val="kk-KZ" w:eastAsia="ru-RU"/>
        </w:rPr>
        <w:t>.</w:t>
      </w:r>
      <w:r w:rsidR="00CC736B">
        <w:rPr>
          <w:rFonts w:ascii="Times New Roman" w:eastAsia="Times New Roman" w:hAnsi="Times New Roman" w:cs="Times New Roman"/>
          <w:sz w:val="28"/>
          <w:szCs w:val="28"/>
          <w:lang w:val="kk-KZ" w:eastAsia="ru-RU"/>
        </w:rPr>
        <w:t xml:space="preserve"> </w:t>
      </w:r>
    </w:p>
    <w:p w14:paraId="4A1BB144" w14:textId="77777777" w:rsidR="00556AAC" w:rsidRPr="00556AAC" w:rsidRDefault="00556AAC" w:rsidP="00556AAC">
      <w:pPr>
        <w:spacing w:after="0" w:line="240" w:lineRule="auto"/>
        <w:ind w:firstLine="708"/>
        <w:jc w:val="both"/>
        <w:rPr>
          <w:rFonts w:ascii="Times New Roman" w:eastAsia="Times New Roman" w:hAnsi="Times New Roman" w:cs="Times New Roman"/>
          <w:sz w:val="28"/>
          <w:szCs w:val="28"/>
          <w:lang w:val="kk-KZ" w:eastAsia="ru-RU"/>
        </w:rPr>
      </w:pPr>
      <w:r w:rsidRPr="00556AAC">
        <w:rPr>
          <w:rFonts w:ascii="Times New Roman" w:eastAsia="Times New Roman" w:hAnsi="Times New Roman" w:cs="Times New Roman"/>
          <w:sz w:val="28"/>
          <w:szCs w:val="28"/>
          <w:lang w:val="kk-KZ" w:eastAsia="ru-RU"/>
        </w:rPr>
        <w:t>2021 жылдың соңына дейін тарифтердің өзгеруі болжанбайды.</w:t>
      </w:r>
    </w:p>
    <w:p w14:paraId="4AD997A3" w14:textId="655333A0" w:rsidR="00556AAC" w:rsidRPr="00CC736B" w:rsidRDefault="00556AAC" w:rsidP="00556AAC">
      <w:pPr>
        <w:spacing w:after="0" w:line="240" w:lineRule="auto"/>
        <w:ind w:firstLine="708"/>
        <w:jc w:val="both"/>
        <w:rPr>
          <w:rFonts w:ascii="Times New Roman" w:eastAsia="Times New Roman" w:hAnsi="Times New Roman" w:cs="Times New Roman"/>
          <w:sz w:val="28"/>
          <w:szCs w:val="28"/>
          <w:lang w:val="kk-KZ" w:eastAsia="ru-RU"/>
        </w:rPr>
      </w:pPr>
      <w:r w:rsidRPr="00556AAC">
        <w:rPr>
          <w:rFonts w:ascii="Times New Roman" w:eastAsia="Times New Roman" w:hAnsi="Times New Roman" w:cs="Times New Roman"/>
          <w:sz w:val="28"/>
          <w:szCs w:val="28"/>
          <w:lang w:val="kk-KZ" w:eastAsia="ru-RU"/>
        </w:rPr>
        <w:t xml:space="preserve">Барлық аталған іс-шаралар </w:t>
      </w:r>
      <w:r w:rsidR="00F23EDA">
        <w:rPr>
          <w:rFonts w:ascii="Times New Roman" w:eastAsia="Times New Roman" w:hAnsi="Times New Roman" w:cs="Times New Roman"/>
          <w:sz w:val="28"/>
          <w:szCs w:val="28"/>
          <w:lang w:val="kk-KZ" w:eastAsia="ru-RU"/>
        </w:rPr>
        <w:t>«</w:t>
      </w:r>
      <w:r w:rsidRPr="00556AAC">
        <w:rPr>
          <w:rFonts w:ascii="Times New Roman" w:eastAsia="Times New Roman" w:hAnsi="Times New Roman" w:cs="Times New Roman"/>
          <w:sz w:val="28"/>
          <w:szCs w:val="28"/>
          <w:lang w:val="kk-KZ" w:eastAsia="ru-RU"/>
        </w:rPr>
        <w:t>ӨЖЖ</w:t>
      </w:r>
      <w:r w:rsidR="00F23EDA">
        <w:rPr>
          <w:rFonts w:ascii="Times New Roman" w:eastAsia="Times New Roman" w:hAnsi="Times New Roman" w:cs="Times New Roman"/>
          <w:sz w:val="28"/>
          <w:szCs w:val="28"/>
          <w:lang w:val="kk-KZ" w:eastAsia="ru-RU"/>
        </w:rPr>
        <w:t xml:space="preserve">» </w:t>
      </w:r>
      <w:r w:rsidRPr="00556AAC">
        <w:rPr>
          <w:rFonts w:ascii="Times New Roman" w:eastAsia="Times New Roman" w:hAnsi="Times New Roman" w:cs="Times New Roman"/>
          <w:sz w:val="28"/>
          <w:szCs w:val="28"/>
          <w:lang w:val="kk-KZ" w:eastAsia="ru-RU"/>
        </w:rPr>
        <w:t>АҚ</w:t>
      </w:r>
      <w:r w:rsidR="00F23EDA">
        <w:rPr>
          <w:rFonts w:ascii="Times New Roman" w:eastAsia="Times New Roman" w:hAnsi="Times New Roman" w:cs="Times New Roman"/>
          <w:sz w:val="28"/>
          <w:szCs w:val="28"/>
          <w:lang w:val="kk-KZ" w:eastAsia="ru-RU"/>
        </w:rPr>
        <w:t>-ның</w:t>
      </w:r>
      <w:bookmarkStart w:id="0" w:name="_GoBack"/>
      <w:bookmarkEnd w:id="0"/>
      <w:r w:rsidRPr="00556AAC">
        <w:rPr>
          <w:rFonts w:ascii="Times New Roman" w:eastAsia="Times New Roman" w:hAnsi="Times New Roman" w:cs="Times New Roman"/>
          <w:sz w:val="28"/>
          <w:szCs w:val="28"/>
          <w:lang w:val="kk-KZ" w:eastAsia="ru-RU"/>
        </w:rPr>
        <w:t xml:space="preserve"> тұтынушыларын үздіксіз және сапалы жылумен жабдықтауды және қызмет көрсетуді қамтамасыз етуге мүмкіндік береді.</w:t>
      </w:r>
    </w:p>
    <w:p w14:paraId="0AE301D1" w14:textId="3F492E01" w:rsidR="00676ABF" w:rsidRPr="000F678F" w:rsidRDefault="000F678F" w:rsidP="00034410">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sectPr w:rsidR="00676ABF" w:rsidRPr="000F678F" w:rsidSect="0095169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DA"/>
    <w:rsid w:val="00004DBE"/>
    <w:rsid w:val="00034410"/>
    <w:rsid w:val="0007163C"/>
    <w:rsid w:val="000764EE"/>
    <w:rsid w:val="000E12BC"/>
    <w:rsid w:val="000E171D"/>
    <w:rsid w:val="000F678F"/>
    <w:rsid w:val="00107566"/>
    <w:rsid w:val="0013044C"/>
    <w:rsid w:val="0013785D"/>
    <w:rsid w:val="00163216"/>
    <w:rsid w:val="001B0E99"/>
    <w:rsid w:val="00242EA0"/>
    <w:rsid w:val="002A0AE5"/>
    <w:rsid w:val="002B4514"/>
    <w:rsid w:val="002C13E5"/>
    <w:rsid w:val="002E5C9D"/>
    <w:rsid w:val="00306AB4"/>
    <w:rsid w:val="00324914"/>
    <w:rsid w:val="003556C8"/>
    <w:rsid w:val="003860FD"/>
    <w:rsid w:val="003A29AE"/>
    <w:rsid w:val="003E31DB"/>
    <w:rsid w:val="003E7451"/>
    <w:rsid w:val="004052D8"/>
    <w:rsid w:val="0041650D"/>
    <w:rsid w:val="00460402"/>
    <w:rsid w:val="00485383"/>
    <w:rsid w:val="004A1A95"/>
    <w:rsid w:val="004D0A7C"/>
    <w:rsid w:val="00550A9E"/>
    <w:rsid w:val="00556AAC"/>
    <w:rsid w:val="005A2684"/>
    <w:rsid w:val="005C709A"/>
    <w:rsid w:val="00603235"/>
    <w:rsid w:val="006254A2"/>
    <w:rsid w:val="006358B4"/>
    <w:rsid w:val="006413E0"/>
    <w:rsid w:val="006460BC"/>
    <w:rsid w:val="00675D1F"/>
    <w:rsid w:val="00676ABF"/>
    <w:rsid w:val="006A3907"/>
    <w:rsid w:val="006F6209"/>
    <w:rsid w:val="007145B8"/>
    <w:rsid w:val="00783D6D"/>
    <w:rsid w:val="007921BF"/>
    <w:rsid w:val="007A26DA"/>
    <w:rsid w:val="008155BC"/>
    <w:rsid w:val="00853C6C"/>
    <w:rsid w:val="008552CF"/>
    <w:rsid w:val="00855EDA"/>
    <w:rsid w:val="008A0BF1"/>
    <w:rsid w:val="008A1E62"/>
    <w:rsid w:val="008E64AA"/>
    <w:rsid w:val="00906B19"/>
    <w:rsid w:val="00926400"/>
    <w:rsid w:val="00951691"/>
    <w:rsid w:val="009602DB"/>
    <w:rsid w:val="00971334"/>
    <w:rsid w:val="009758BE"/>
    <w:rsid w:val="00976510"/>
    <w:rsid w:val="00977D32"/>
    <w:rsid w:val="009A10FD"/>
    <w:rsid w:val="009A5047"/>
    <w:rsid w:val="009F0137"/>
    <w:rsid w:val="009F581A"/>
    <w:rsid w:val="00A06FBB"/>
    <w:rsid w:val="00A46194"/>
    <w:rsid w:val="00AA034A"/>
    <w:rsid w:val="00AD1893"/>
    <w:rsid w:val="00AF6A49"/>
    <w:rsid w:val="00B01845"/>
    <w:rsid w:val="00B56564"/>
    <w:rsid w:val="00BA5425"/>
    <w:rsid w:val="00BC3D1F"/>
    <w:rsid w:val="00C2547C"/>
    <w:rsid w:val="00C33800"/>
    <w:rsid w:val="00C667C4"/>
    <w:rsid w:val="00CC2C57"/>
    <w:rsid w:val="00CC2F11"/>
    <w:rsid w:val="00CC736B"/>
    <w:rsid w:val="00CE0FE6"/>
    <w:rsid w:val="00CF1566"/>
    <w:rsid w:val="00D1766D"/>
    <w:rsid w:val="00D3059F"/>
    <w:rsid w:val="00D41C18"/>
    <w:rsid w:val="00D77DB8"/>
    <w:rsid w:val="00D9605D"/>
    <w:rsid w:val="00DC2A41"/>
    <w:rsid w:val="00DD67D1"/>
    <w:rsid w:val="00DE57BF"/>
    <w:rsid w:val="00DE6DFB"/>
    <w:rsid w:val="00E12649"/>
    <w:rsid w:val="00E1365C"/>
    <w:rsid w:val="00E27F05"/>
    <w:rsid w:val="00E447C5"/>
    <w:rsid w:val="00E6650F"/>
    <w:rsid w:val="00E846C5"/>
    <w:rsid w:val="00E87B29"/>
    <w:rsid w:val="00EA15C7"/>
    <w:rsid w:val="00EE4DDF"/>
    <w:rsid w:val="00F04424"/>
    <w:rsid w:val="00F16AF3"/>
    <w:rsid w:val="00F23EDA"/>
    <w:rsid w:val="00F24691"/>
    <w:rsid w:val="00F87203"/>
    <w:rsid w:val="00F9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37D90550-1B6A-490F-A0AA-29F51BC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Окасова Мария Кадылбековна</cp:lastModifiedBy>
  <cp:revision>2</cp:revision>
  <dcterms:created xsi:type="dcterms:W3CDTF">2021-04-29T07:51:00Z</dcterms:created>
  <dcterms:modified xsi:type="dcterms:W3CDTF">2021-04-29T07:51:00Z</dcterms:modified>
</cp:coreProperties>
</file>